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E9C55" w14:textId="77777777" w:rsidR="000D432F" w:rsidRDefault="000D432F" w:rsidP="00C47A5C">
      <w:pPr>
        <w:pStyle w:val="Kines"/>
        <w:rPr>
          <w:color w:val="808080"/>
          <w:sz w:val="18"/>
          <w:lang w:val="cs-CZ"/>
        </w:rPr>
      </w:pPr>
    </w:p>
    <w:p w14:paraId="24306ACE" w14:textId="77777777" w:rsidR="000D432F" w:rsidRDefault="000D432F" w:rsidP="00C47A5C">
      <w:pPr>
        <w:pStyle w:val="Kines"/>
        <w:rPr>
          <w:color w:val="808080"/>
          <w:sz w:val="18"/>
          <w:lang w:val="cs-CZ"/>
        </w:rPr>
      </w:pPr>
    </w:p>
    <w:p w14:paraId="707E3979" w14:textId="77777777" w:rsidR="000D432F" w:rsidRDefault="000D432F" w:rsidP="00C47A5C">
      <w:pPr>
        <w:pStyle w:val="Kines"/>
        <w:rPr>
          <w:color w:val="808080"/>
          <w:sz w:val="18"/>
          <w:lang w:val="cs-CZ"/>
        </w:rPr>
      </w:pPr>
    </w:p>
    <w:p w14:paraId="356FD297" w14:textId="77777777" w:rsidR="000D432F" w:rsidRDefault="000D432F" w:rsidP="00C47A5C">
      <w:pPr>
        <w:pStyle w:val="Kines"/>
        <w:rPr>
          <w:color w:val="808080"/>
          <w:sz w:val="18"/>
          <w:lang w:val="cs-CZ"/>
        </w:rPr>
      </w:pPr>
    </w:p>
    <w:p w14:paraId="1DEEB99C" w14:textId="77777777" w:rsidR="000D432F" w:rsidRDefault="000D432F" w:rsidP="00C47A5C">
      <w:pPr>
        <w:pStyle w:val="Kines"/>
        <w:rPr>
          <w:color w:val="808080"/>
          <w:sz w:val="18"/>
          <w:lang w:val="cs-CZ"/>
        </w:rPr>
      </w:pPr>
    </w:p>
    <w:p w14:paraId="6A534579" w14:textId="77777777" w:rsidR="000D432F" w:rsidRDefault="000D432F" w:rsidP="00C47A5C">
      <w:pPr>
        <w:pStyle w:val="Kines"/>
        <w:rPr>
          <w:color w:val="808080"/>
          <w:sz w:val="18"/>
          <w:lang w:val="cs-CZ"/>
        </w:rPr>
      </w:pPr>
    </w:p>
    <w:p w14:paraId="179D2ED1" w14:textId="77777777" w:rsidR="000D432F" w:rsidRPr="00D36CC5" w:rsidRDefault="000D432F" w:rsidP="00C47A5C">
      <w:pPr>
        <w:pStyle w:val="Kines"/>
        <w:rPr>
          <w:color w:val="808080"/>
          <w:sz w:val="56"/>
          <w:szCs w:val="56"/>
          <w:lang w:val="cs-CZ"/>
        </w:rPr>
      </w:pPr>
    </w:p>
    <w:p w14:paraId="0419C512" w14:textId="77777777" w:rsidR="000D432F" w:rsidRPr="00D36CC5" w:rsidRDefault="00E078F6" w:rsidP="00D36CC5">
      <w:pPr>
        <w:pStyle w:val="Kines"/>
        <w:jc w:val="center"/>
        <w:rPr>
          <w:sz w:val="52"/>
          <w:szCs w:val="52"/>
          <w:lang w:val="cs-CZ"/>
        </w:rPr>
      </w:pPr>
      <w:bookmarkStart w:id="0" w:name="_Toc412470481"/>
      <w:bookmarkStart w:id="1" w:name="_Toc412472015"/>
      <w:bookmarkStart w:id="2" w:name="_Toc415817816"/>
      <w:bookmarkStart w:id="3" w:name="_Toc301423661"/>
      <w:r w:rsidRPr="00D36CC5">
        <w:rPr>
          <w:sz w:val="52"/>
          <w:szCs w:val="52"/>
          <w:lang w:val="cs-CZ"/>
        </w:rPr>
        <w:t>Stanovisko</w:t>
      </w:r>
      <w:r w:rsidR="009A3DB2" w:rsidRPr="00D36CC5">
        <w:rPr>
          <w:sz w:val="52"/>
          <w:szCs w:val="52"/>
          <w:lang w:val="cs-CZ"/>
        </w:rPr>
        <w:t xml:space="preserve"> Českého telekomunikačního úřadu ke sdílení sítí 2G, 3G a 4G</w:t>
      </w:r>
      <w:bookmarkEnd w:id="0"/>
      <w:bookmarkEnd w:id="1"/>
      <w:bookmarkEnd w:id="2"/>
      <w:bookmarkEnd w:id="3"/>
    </w:p>
    <w:p w14:paraId="6BA9FF68" w14:textId="77777777" w:rsidR="0064753F" w:rsidRPr="00475828" w:rsidRDefault="00C47A5C" w:rsidP="00C47A5C">
      <w:pPr>
        <w:rPr>
          <w:lang w:val="cs-CZ"/>
        </w:rPr>
      </w:pPr>
      <w:r w:rsidRPr="000D432F">
        <w:rPr>
          <w:lang w:val="cs-CZ"/>
        </w:rPr>
        <w:br w:type="page"/>
      </w:r>
    </w:p>
    <w:sdt>
      <w:sdtPr>
        <w:rPr>
          <w:rFonts w:cs="Arial"/>
          <w:b/>
          <w:bCs/>
          <w:szCs w:val="20"/>
        </w:rPr>
        <w:id w:val="597289925"/>
        <w:docPartObj>
          <w:docPartGallery w:val="Table of Contents"/>
          <w:docPartUnique/>
        </w:docPartObj>
      </w:sdtPr>
      <w:sdtEndPr>
        <w:rPr>
          <w:b w:val="0"/>
          <w:bCs w:val="0"/>
        </w:rPr>
      </w:sdtEndPr>
      <w:sdtContent>
        <w:p w14:paraId="73B817A3" w14:textId="77777777" w:rsidR="00C47A5C" w:rsidRPr="00A26B30" w:rsidRDefault="00E959E6">
          <w:pPr>
            <w:pStyle w:val="Obsah1"/>
            <w:rPr>
              <w:rFonts w:cs="Arial"/>
              <w:b/>
              <w:bCs/>
              <w:color w:val="777777"/>
              <w:kern w:val="28"/>
              <w:szCs w:val="20"/>
              <w:lang w:val="cs-CZ" w:eastAsia="lv-LV"/>
            </w:rPr>
          </w:pPr>
          <w:r w:rsidRPr="00A26B30">
            <w:rPr>
              <w:rFonts w:cs="Arial"/>
              <w:b/>
              <w:bCs/>
              <w:color w:val="777777"/>
              <w:kern w:val="28"/>
              <w:szCs w:val="20"/>
              <w:lang w:val="cs-CZ" w:eastAsia="lv-LV"/>
            </w:rPr>
            <w:t>Obsah</w:t>
          </w:r>
        </w:p>
        <w:p w14:paraId="4520AEAE" w14:textId="77777777" w:rsidR="00C95099" w:rsidRDefault="00A967BC">
          <w:pPr>
            <w:pStyle w:val="Obsah1"/>
            <w:rPr>
              <w:rFonts w:asciiTheme="minorHAnsi" w:eastAsiaTheme="minorEastAsia" w:hAnsiTheme="minorHAnsi" w:cstheme="minorBidi"/>
              <w:noProof/>
              <w:sz w:val="24"/>
              <w:lang w:val="cs-CZ" w:eastAsia="ja-JP"/>
            </w:rPr>
          </w:pPr>
          <w:r w:rsidRPr="00A26B30">
            <w:rPr>
              <w:rFonts w:eastAsiaTheme="majorEastAsia" w:cs="Arial"/>
              <w:color w:val="365F91" w:themeColor="accent1" w:themeShade="BF"/>
              <w:szCs w:val="20"/>
              <w:lang w:eastAsia="cs-CZ"/>
            </w:rPr>
            <w:fldChar w:fldCharType="begin"/>
          </w:r>
          <w:r w:rsidR="00E959E6" w:rsidRPr="00A26B30">
            <w:rPr>
              <w:rFonts w:cs="Arial"/>
              <w:szCs w:val="20"/>
            </w:rPr>
            <w:instrText xml:space="preserve"> TOC \o "1-3" \h \z \u </w:instrText>
          </w:r>
          <w:r w:rsidRPr="00A26B30">
            <w:rPr>
              <w:rFonts w:eastAsiaTheme="majorEastAsia" w:cs="Arial"/>
              <w:color w:val="365F91" w:themeColor="accent1" w:themeShade="BF"/>
              <w:szCs w:val="20"/>
              <w:lang w:eastAsia="cs-CZ"/>
            </w:rPr>
            <w:fldChar w:fldCharType="separate"/>
          </w:r>
          <w:r w:rsidR="00C95099" w:rsidRPr="0016572F">
            <w:rPr>
              <w:noProof/>
              <w:lang w:val="cs-CZ"/>
            </w:rPr>
            <w:t>Stanovisko Českého telekomunikačního úřadu ke sdílení sítí 2G, 3G a 4G</w:t>
          </w:r>
          <w:r w:rsidR="00C95099">
            <w:rPr>
              <w:noProof/>
            </w:rPr>
            <w:tab/>
          </w:r>
          <w:r w:rsidR="00C95099">
            <w:rPr>
              <w:noProof/>
            </w:rPr>
            <w:fldChar w:fldCharType="begin"/>
          </w:r>
          <w:r w:rsidR="00C95099">
            <w:rPr>
              <w:noProof/>
            </w:rPr>
            <w:instrText xml:space="preserve"> PAGEREF _Toc301423661 \h </w:instrText>
          </w:r>
          <w:r w:rsidR="00C95099">
            <w:rPr>
              <w:noProof/>
            </w:rPr>
          </w:r>
          <w:r w:rsidR="00C95099">
            <w:rPr>
              <w:noProof/>
            </w:rPr>
            <w:fldChar w:fldCharType="separate"/>
          </w:r>
          <w:r w:rsidR="00DF4E36">
            <w:rPr>
              <w:noProof/>
            </w:rPr>
            <w:t>1</w:t>
          </w:r>
          <w:r w:rsidR="00C95099">
            <w:rPr>
              <w:noProof/>
            </w:rPr>
            <w:fldChar w:fldCharType="end"/>
          </w:r>
        </w:p>
        <w:p w14:paraId="11DA108C" w14:textId="77777777" w:rsidR="00C95099" w:rsidRDefault="00C95099">
          <w:pPr>
            <w:pStyle w:val="Obsah1"/>
            <w:rPr>
              <w:rFonts w:asciiTheme="minorHAnsi" w:eastAsiaTheme="minorEastAsia" w:hAnsiTheme="minorHAnsi" w:cstheme="minorBidi"/>
              <w:noProof/>
              <w:sz w:val="24"/>
              <w:lang w:val="cs-CZ" w:eastAsia="ja-JP"/>
            </w:rPr>
          </w:pPr>
          <w:r w:rsidRPr="0016572F">
            <w:rPr>
              <w:noProof/>
              <w:lang w:val="cs-CZ"/>
            </w:rPr>
            <w:t>Úvod</w:t>
          </w:r>
          <w:r>
            <w:rPr>
              <w:noProof/>
            </w:rPr>
            <w:tab/>
          </w:r>
          <w:r>
            <w:rPr>
              <w:noProof/>
            </w:rPr>
            <w:fldChar w:fldCharType="begin"/>
          </w:r>
          <w:r>
            <w:rPr>
              <w:noProof/>
            </w:rPr>
            <w:instrText xml:space="preserve"> PAGEREF _Toc301423662 \h </w:instrText>
          </w:r>
          <w:r>
            <w:rPr>
              <w:noProof/>
            </w:rPr>
          </w:r>
          <w:r>
            <w:rPr>
              <w:noProof/>
            </w:rPr>
            <w:fldChar w:fldCharType="separate"/>
          </w:r>
          <w:r w:rsidR="00DF4E36">
            <w:rPr>
              <w:noProof/>
            </w:rPr>
            <w:t>5</w:t>
          </w:r>
          <w:r>
            <w:rPr>
              <w:noProof/>
            </w:rPr>
            <w:fldChar w:fldCharType="end"/>
          </w:r>
        </w:p>
        <w:p w14:paraId="75B97B56" w14:textId="77777777" w:rsidR="00C95099" w:rsidRDefault="00C95099">
          <w:pPr>
            <w:pStyle w:val="Obsah1"/>
            <w:rPr>
              <w:rFonts w:asciiTheme="minorHAnsi" w:eastAsiaTheme="minorEastAsia" w:hAnsiTheme="minorHAnsi" w:cstheme="minorBidi"/>
              <w:noProof/>
              <w:sz w:val="24"/>
              <w:lang w:val="cs-CZ" w:eastAsia="ja-JP"/>
            </w:rPr>
          </w:pPr>
          <w:r w:rsidRPr="0016572F">
            <w:rPr>
              <w:noProof/>
              <w:lang w:val="cs-CZ"/>
            </w:rPr>
            <w:t>Shrnutí</w:t>
          </w:r>
          <w:r>
            <w:rPr>
              <w:noProof/>
            </w:rPr>
            <w:tab/>
          </w:r>
          <w:r>
            <w:rPr>
              <w:noProof/>
            </w:rPr>
            <w:fldChar w:fldCharType="begin"/>
          </w:r>
          <w:r>
            <w:rPr>
              <w:noProof/>
            </w:rPr>
            <w:instrText xml:space="preserve"> PAGEREF _Toc301423663 \h </w:instrText>
          </w:r>
          <w:r>
            <w:rPr>
              <w:noProof/>
            </w:rPr>
          </w:r>
          <w:r>
            <w:rPr>
              <w:noProof/>
            </w:rPr>
            <w:fldChar w:fldCharType="separate"/>
          </w:r>
          <w:r w:rsidR="00DF4E36">
            <w:rPr>
              <w:noProof/>
            </w:rPr>
            <w:t>6</w:t>
          </w:r>
          <w:r>
            <w:rPr>
              <w:noProof/>
            </w:rPr>
            <w:fldChar w:fldCharType="end"/>
          </w:r>
        </w:p>
        <w:p w14:paraId="67BD8016" w14:textId="77777777" w:rsidR="00C95099" w:rsidRDefault="00C95099">
          <w:pPr>
            <w:pStyle w:val="Obsah1"/>
            <w:rPr>
              <w:rFonts w:asciiTheme="minorHAnsi" w:eastAsiaTheme="minorEastAsia" w:hAnsiTheme="minorHAnsi" w:cstheme="minorBidi"/>
              <w:noProof/>
              <w:sz w:val="24"/>
              <w:lang w:val="cs-CZ" w:eastAsia="ja-JP"/>
            </w:rPr>
          </w:pPr>
          <w:r w:rsidRPr="0016572F">
            <w:rPr>
              <w:noProof/>
              <w:lang w:val="cs-CZ"/>
            </w:rPr>
            <w:t>Analýza</w:t>
          </w:r>
          <w:r>
            <w:rPr>
              <w:noProof/>
            </w:rPr>
            <w:tab/>
          </w:r>
          <w:r>
            <w:rPr>
              <w:noProof/>
            </w:rPr>
            <w:fldChar w:fldCharType="begin"/>
          </w:r>
          <w:r>
            <w:rPr>
              <w:noProof/>
            </w:rPr>
            <w:instrText xml:space="preserve"> PAGEREF _Toc301423664 \h </w:instrText>
          </w:r>
          <w:r>
            <w:rPr>
              <w:noProof/>
            </w:rPr>
          </w:r>
          <w:r>
            <w:rPr>
              <w:noProof/>
            </w:rPr>
            <w:fldChar w:fldCharType="separate"/>
          </w:r>
          <w:r w:rsidR="00DF4E36">
            <w:rPr>
              <w:noProof/>
            </w:rPr>
            <w:t>10</w:t>
          </w:r>
          <w:r>
            <w:rPr>
              <w:noProof/>
            </w:rPr>
            <w:fldChar w:fldCharType="end"/>
          </w:r>
        </w:p>
        <w:p w14:paraId="6BE7B0EB" w14:textId="77777777" w:rsidR="00C95099" w:rsidRDefault="00C95099">
          <w:pPr>
            <w:pStyle w:val="Obsah1"/>
            <w:tabs>
              <w:tab w:val="left" w:pos="407"/>
            </w:tabs>
            <w:rPr>
              <w:rFonts w:asciiTheme="minorHAnsi" w:eastAsiaTheme="minorEastAsia" w:hAnsiTheme="minorHAnsi" w:cstheme="minorBidi"/>
              <w:noProof/>
              <w:sz w:val="24"/>
              <w:lang w:val="cs-CZ" w:eastAsia="ja-JP"/>
            </w:rPr>
          </w:pPr>
          <w:r w:rsidRPr="0016572F">
            <w:rPr>
              <w:noProof/>
              <w:lang w:val="cs-CZ"/>
            </w:rPr>
            <w:t>1.</w:t>
          </w:r>
          <w:r>
            <w:rPr>
              <w:rFonts w:asciiTheme="minorHAnsi" w:eastAsiaTheme="minorEastAsia" w:hAnsiTheme="minorHAnsi" w:cstheme="minorBidi"/>
              <w:noProof/>
              <w:sz w:val="24"/>
              <w:lang w:val="cs-CZ" w:eastAsia="ja-JP"/>
            </w:rPr>
            <w:tab/>
          </w:r>
          <w:r w:rsidRPr="0016572F">
            <w:rPr>
              <w:noProof/>
              <w:lang w:val="cs-CZ"/>
            </w:rPr>
            <w:t>Modely sdílení sítí</w:t>
          </w:r>
          <w:r>
            <w:rPr>
              <w:noProof/>
            </w:rPr>
            <w:tab/>
          </w:r>
          <w:r>
            <w:rPr>
              <w:noProof/>
            </w:rPr>
            <w:fldChar w:fldCharType="begin"/>
          </w:r>
          <w:r>
            <w:rPr>
              <w:noProof/>
            </w:rPr>
            <w:instrText xml:space="preserve"> PAGEREF _Toc301423665 \h </w:instrText>
          </w:r>
          <w:r>
            <w:rPr>
              <w:noProof/>
            </w:rPr>
          </w:r>
          <w:r>
            <w:rPr>
              <w:noProof/>
            </w:rPr>
            <w:fldChar w:fldCharType="separate"/>
          </w:r>
          <w:r w:rsidR="00DF4E36">
            <w:rPr>
              <w:noProof/>
            </w:rPr>
            <w:t>10</w:t>
          </w:r>
          <w:r>
            <w:rPr>
              <w:noProof/>
            </w:rPr>
            <w:fldChar w:fldCharType="end"/>
          </w:r>
        </w:p>
        <w:p w14:paraId="327B1AE9" w14:textId="77777777" w:rsidR="00C95099" w:rsidRDefault="00C95099">
          <w:pPr>
            <w:pStyle w:val="Obsah2"/>
            <w:tabs>
              <w:tab w:val="left" w:pos="574"/>
            </w:tabs>
            <w:rPr>
              <w:rFonts w:asciiTheme="minorHAnsi" w:eastAsiaTheme="minorEastAsia" w:hAnsiTheme="minorHAnsi" w:cstheme="minorBidi"/>
              <w:noProof/>
              <w:sz w:val="24"/>
              <w:lang w:val="cs-CZ" w:eastAsia="ja-JP"/>
            </w:rPr>
          </w:pPr>
          <w:r>
            <w:rPr>
              <w:noProof/>
            </w:rPr>
            <w:t>1.1.</w:t>
          </w:r>
          <w:r>
            <w:rPr>
              <w:rFonts w:asciiTheme="minorHAnsi" w:eastAsiaTheme="minorEastAsia" w:hAnsiTheme="minorHAnsi" w:cstheme="minorBidi"/>
              <w:noProof/>
              <w:sz w:val="24"/>
              <w:lang w:val="cs-CZ" w:eastAsia="ja-JP"/>
            </w:rPr>
            <w:tab/>
          </w:r>
          <w:r>
            <w:rPr>
              <w:noProof/>
            </w:rPr>
            <w:t>Vývoj modelů sdílení sítí</w:t>
          </w:r>
          <w:r>
            <w:rPr>
              <w:noProof/>
            </w:rPr>
            <w:tab/>
          </w:r>
          <w:r>
            <w:rPr>
              <w:noProof/>
            </w:rPr>
            <w:fldChar w:fldCharType="begin"/>
          </w:r>
          <w:r>
            <w:rPr>
              <w:noProof/>
            </w:rPr>
            <w:instrText xml:space="preserve"> PAGEREF _Toc301423666 \h </w:instrText>
          </w:r>
          <w:r>
            <w:rPr>
              <w:noProof/>
            </w:rPr>
          </w:r>
          <w:r>
            <w:rPr>
              <w:noProof/>
            </w:rPr>
            <w:fldChar w:fldCharType="separate"/>
          </w:r>
          <w:r w:rsidR="00DF4E36">
            <w:rPr>
              <w:noProof/>
            </w:rPr>
            <w:t>10</w:t>
          </w:r>
          <w:r>
            <w:rPr>
              <w:noProof/>
            </w:rPr>
            <w:fldChar w:fldCharType="end"/>
          </w:r>
        </w:p>
        <w:p w14:paraId="37C43A15" w14:textId="77777777" w:rsidR="00C95099" w:rsidRDefault="00C95099">
          <w:pPr>
            <w:pStyle w:val="Obsah2"/>
            <w:tabs>
              <w:tab w:val="left" w:pos="574"/>
            </w:tabs>
            <w:rPr>
              <w:rFonts w:asciiTheme="minorHAnsi" w:eastAsiaTheme="minorEastAsia" w:hAnsiTheme="minorHAnsi" w:cstheme="minorBidi"/>
              <w:noProof/>
              <w:sz w:val="24"/>
              <w:lang w:val="cs-CZ" w:eastAsia="ja-JP"/>
            </w:rPr>
          </w:pPr>
          <w:r>
            <w:rPr>
              <w:noProof/>
            </w:rPr>
            <w:t>1.2.</w:t>
          </w:r>
          <w:r>
            <w:rPr>
              <w:rFonts w:asciiTheme="minorHAnsi" w:eastAsiaTheme="minorEastAsia" w:hAnsiTheme="minorHAnsi" w:cstheme="minorBidi"/>
              <w:noProof/>
              <w:sz w:val="24"/>
              <w:lang w:val="cs-CZ" w:eastAsia="ja-JP"/>
            </w:rPr>
            <w:tab/>
          </w:r>
          <w:r>
            <w:rPr>
              <w:noProof/>
            </w:rPr>
            <w:t>Dělení dle charakteru sdílené infrastruktury (aktivní a pasivní)</w:t>
          </w:r>
          <w:r>
            <w:rPr>
              <w:noProof/>
            </w:rPr>
            <w:tab/>
          </w:r>
          <w:r>
            <w:rPr>
              <w:noProof/>
            </w:rPr>
            <w:fldChar w:fldCharType="begin"/>
          </w:r>
          <w:r>
            <w:rPr>
              <w:noProof/>
            </w:rPr>
            <w:instrText xml:space="preserve"> PAGEREF _Toc301423667 \h </w:instrText>
          </w:r>
          <w:r>
            <w:rPr>
              <w:noProof/>
            </w:rPr>
          </w:r>
          <w:r>
            <w:rPr>
              <w:noProof/>
            </w:rPr>
            <w:fldChar w:fldCharType="separate"/>
          </w:r>
          <w:r w:rsidR="00DF4E36">
            <w:rPr>
              <w:noProof/>
            </w:rPr>
            <w:t>11</w:t>
          </w:r>
          <w:r>
            <w:rPr>
              <w:noProof/>
            </w:rPr>
            <w:fldChar w:fldCharType="end"/>
          </w:r>
        </w:p>
        <w:p w14:paraId="7DF4FE82" w14:textId="77777777" w:rsidR="00C95099" w:rsidRDefault="00C95099">
          <w:pPr>
            <w:pStyle w:val="Obsah2"/>
            <w:tabs>
              <w:tab w:val="left" w:pos="574"/>
            </w:tabs>
            <w:rPr>
              <w:rFonts w:asciiTheme="minorHAnsi" w:eastAsiaTheme="minorEastAsia" w:hAnsiTheme="minorHAnsi" w:cstheme="minorBidi"/>
              <w:noProof/>
              <w:sz w:val="24"/>
              <w:lang w:val="cs-CZ" w:eastAsia="ja-JP"/>
            </w:rPr>
          </w:pPr>
          <w:r>
            <w:rPr>
              <w:noProof/>
            </w:rPr>
            <w:t>1.3.</w:t>
          </w:r>
          <w:r>
            <w:rPr>
              <w:rFonts w:asciiTheme="minorHAnsi" w:eastAsiaTheme="minorEastAsia" w:hAnsiTheme="minorHAnsi" w:cstheme="minorBidi"/>
              <w:noProof/>
              <w:sz w:val="24"/>
              <w:lang w:val="cs-CZ" w:eastAsia="ja-JP"/>
            </w:rPr>
            <w:tab/>
          </w:r>
          <w:r>
            <w:rPr>
              <w:noProof/>
            </w:rPr>
            <w:t>Dělení dle rozsahu sdílené sítě</w:t>
          </w:r>
          <w:r>
            <w:rPr>
              <w:noProof/>
            </w:rPr>
            <w:tab/>
          </w:r>
          <w:r>
            <w:rPr>
              <w:noProof/>
            </w:rPr>
            <w:fldChar w:fldCharType="begin"/>
          </w:r>
          <w:r>
            <w:rPr>
              <w:noProof/>
            </w:rPr>
            <w:instrText xml:space="preserve"> PAGEREF _Toc301423668 \h </w:instrText>
          </w:r>
          <w:r>
            <w:rPr>
              <w:noProof/>
            </w:rPr>
          </w:r>
          <w:r>
            <w:rPr>
              <w:noProof/>
            </w:rPr>
            <w:fldChar w:fldCharType="separate"/>
          </w:r>
          <w:r w:rsidR="00DF4E36">
            <w:rPr>
              <w:noProof/>
            </w:rPr>
            <w:t>11</w:t>
          </w:r>
          <w:r>
            <w:rPr>
              <w:noProof/>
            </w:rPr>
            <w:fldChar w:fldCharType="end"/>
          </w:r>
        </w:p>
        <w:p w14:paraId="3AD4BAFC" w14:textId="77777777" w:rsidR="00C95099" w:rsidRDefault="00C95099">
          <w:pPr>
            <w:pStyle w:val="Obsah2"/>
            <w:tabs>
              <w:tab w:val="left" w:pos="574"/>
            </w:tabs>
            <w:rPr>
              <w:rFonts w:asciiTheme="minorHAnsi" w:eastAsiaTheme="minorEastAsia" w:hAnsiTheme="minorHAnsi" w:cstheme="minorBidi"/>
              <w:noProof/>
              <w:sz w:val="24"/>
              <w:lang w:val="cs-CZ" w:eastAsia="ja-JP"/>
            </w:rPr>
          </w:pPr>
          <w:r>
            <w:rPr>
              <w:noProof/>
            </w:rPr>
            <w:t>1.4.</w:t>
          </w:r>
          <w:r>
            <w:rPr>
              <w:rFonts w:asciiTheme="minorHAnsi" w:eastAsiaTheme="minorEastAsia" w:hAnsiTheme="minorHAnsi" w:cstheme="minorBidi"/>
              <w:noProof/>
              <w:sz w:val="24"/>
              <w:lang w:val="cs-CZ" w:eastAsia="ja-JP"/>
            </w:rPr>
            <w:tab/>
          </w:r>
          <w:r>
            <w:rPr>
              <w:noProof/>
            </w:rPr>
            <w:t>Dělení dle generace technologie (2G/3G sítí a 4G sítě)</w:t>
          </w:r>
          <w:r>
            <w:rPr>
              <w:noProof/>
            </w:rPr>
            <w:tab/>
          </w:r>
          <w:r>
            <w:rPr>
              <w:noProof/>
            </w:rPr>
            <w:fldChar w:fldCharType="begin"/>
          </w:r>
          <w:r>
            <w:rPr>
              <w:noProof/>
            </w:rPr>
            <w:instrText xml:space="preserve"> PAGEREF _Toc301423669 \h </w:instrText>
          </w:r>
          <w:r>
            <w:rPr>
              <w:noProof/>
            </w:rPr>
          </w:r>
          <w:r>
            <w:rPr>
              <w:noProof/>
            </w:rPr>
            <w:fldChar w:fldCharType="separate"/>
          </w:r>
          <w:r w:rsidR="00DF4E36">
            <w:rPr>
              <w:noProof/>
            </w:rPr>
            <w:t>12</w:t>
          </w:r>
          <w:r>
            <w:rPr>
              <w:noProof/>
            </w:rPr>
            <w:fldChar w:fldCharType="end"/>
          </w:r>
        </w:p>
        <w:p w14:paraId="0E1635D5" w14:textId="77777777" w:rsidR="00C95099" w:rsidRDefault="00C95099">
          <w:pPr>
            <w:pStyle w:val="Obsah1"/>
            <w:tabs>
              <w:tab w:val="left" w:pos="407"/>
            </w:tabs>
            <w:rPr>
              <w:rFonts w:asciiTheme="minorHAnsi" w:eastAsiaTheme="minorEastAsia" w:hAnsiTheme="minorHAnsi" w:cstheme="minorBidi"/>
              <w:noProof/>
              <w:sz w:val="24"/>
              <w:lang w:val="cs-CZ" w:eastAsia="ja-JP"/>
            </w:rPr>
          </w:pPr>
          <w:r w:rsidRPr="0016572F">
            <w:rPr>
              <w:noProof/>
              <w:lang w:val="cs-CZ"/>
            </w:rPr>
            <w:t>2.</w:t>
          </w:r>
          <w:r>
            <w:rPr>
              <w:rFonts w:asciiTheme="minorHAnsi" w:eastAsiaTheme="minorEastAsia" w:hAnsiTheme="minorHAnsi" w:cstheme="minorBidi"/>
              <w:noProof/>
              <w:sz w:val="24"/>
              <w:lang w:val="cs-CZ" w:eastAsia="ja-JP"/>
            </w:rPr>
            <w:tab/>
          </w:r>
          <w:r w:rsidRPr="0016572F">
            <w:rPr>
              <w:noProof/>
              <w:lang w:val="cs-CZ"/>
            </w:rPr>
            <w:t>Sdílení sítí v členských státech EU</w:t>
          </w:r>
          <w:r>
            <w:rPr>
              <w:noProof/>
            </w:rPr>
            <w:tab/>
          </w:r>
          <w:r>
            <w:rPr>
              <w:noProof/>
            </w:rPr>
            <w:fldChar w:fldCharType="begin"/>
          </w:r>
          <w:r>
            <w:rPr>
              <w:noProof/>
            </w:rPr>
            <w:instrText xml:space="preserve"> PAGEREF _Toc301423670 \h </w:instrText>
          </w:r>
          <w:r>
            <w:rPr>
              <w:noProof/>
            </w:rPr>
          </w:r>
          <w:r>
            <w:rPr>
              <w:noProof/>
            </w:rPr>
            <w:fldChar w:fldCharType="separate"/>
          </w:r>
          <w:r w:rsidR="00DF4E36">
            <w:rPr>
              <w:noProof/>
            </w:rPr>
            <w:t>13</w:t>
          </w:r>
          <w:r>
            <w:rPr>
              <w:noProof/>
            </w:rPr>
            <w:fldChar w:fldCharType="end"/>
          </w:r>
        </w:p>
        <w:p w14:paraId="051BEF85" w14:textId="77777777" w:rsidR="00C95099" w:rsidRDefault="00C95099">
          <w:pPr>
            <w:pStyle w:val="Obsah2"/>
            <w:tabs>
              <w:tab w:val="left" w:pos="574"/>
            </w:tabs>
            <w:rPr>
              <w:rFonts w:asciiTheme="minorHAnsi" w:eastAsiaTheme="minorEastAsia" w:hAnsiTheme="minorHAnsi" w:cstheme="minorBidi"/>
              <w:noProof/>
              <w:sz w:val="24"/>
              <w:lang w:val="cs-CZ" w:eastAsia="ja-JP"/>
            </w:rPr>
          </w:pPr>
          <w:r>
            <w:rPr>
              <w:noProof/>
            </w:rPr>
            <w:t>2.1.</w:t>
          </w:r>
          <w:r>
            <w:rPr>
              <w:rFonts w:asciiTheme="minorHAnsi" w:eastAsiaTheme="minorEastAsia" w:hAnsiTheme="minorHAnsi" w:cstheme="minorBidi"/>
              <w:noProof/>
              <w:sz w:val="24"/>
              <w:lang w:val="cs-CZ" w:eastAsia="ja-JP"/>
            </w:rPr>
            <w:tab/>
          </w:r>
          <w:r>
            <w:rPr>
              <w:noProof/>
            </w:rPr>
            <w:t>Benchmark sdílení sítí 2G, 3G a 4G</w:t>
          </w:r>
          <w:r>
            <w:rPr>
              <w:noProof/>
            </w:rPr>
            <w:tab/>
          </w:r>
          <w:r>
            <w:rPr>
              <w:noProof/>
            </w:rPr>
            <w:fldChar w:fldCharType="begin"/>
          </w:r>
          <w:r>
            <w:rPr>
              <w:noProof/>
            </w:rPr>
            <w:instrText xml:space="preserve"> PAGEREF _Toc301423671 \h </w:instrText>
          </w:r>
          <w:r>
            <w:rPr>
              <w:noProof/>
            </w:rPr>
          </w:r>
          <w:r>
            <w:rPr>
              <w:noProof/>
            </w:rPr>
            <w:fldChar w:fldCharType="separate"/>
          </w:r>
          <w:r w:rsidR="00DF4E36">
            <w:rPr>
              <w:noProof/>
            </w:rPr>
            <w:t>14</w:t>
          </w:r>
          <w:r>
            <w:rPr>
              <w:noProof/>
            </w:rPr>
            <w:fldChar w:fldCharType="end"/>
          </w:r>
        </w:p>
        <w:p w14:paraId="1BC06B34" w14:textId="77777777" w:rsidR="00C95099" w:rsidRDefault="00C95099">
          <w:pPr>
            <w:pStyle w:val="Obsah2"/>
            <w:tabs>
              <w:tab w:val="left" w:pos="574"/>
            </w:tabs>
            <w:rPr>
              <w:rFonts w:asciiTheme="minorHAnsi" w:eastAsiaTheme="minorEastAsia" w:hAnsiTheme="minorHAnsi" w:cstheme="minorBidi"/>
              <w:noProof/>
              <w:sz w:val="24"/>
              <w:lang w:val="cs-CZ" w:eastAsia="ja-JP"/>
            </w:rPr>
          </w:pPr>
          <w:r>
            <w:rPr>
              <w:noProof/>
            </w:rPr>
            <w:t>2.2.</w:t>
          </w:r>
          <w:r>
            <w:rPr>
              <w:rFonts w:asciiTheme="minorHAnsi" w:eastAsiaTheme="minorEastAsia" w:hAnsiTheme="minorHAnsi" w:cstheme="minorBidi"/>
              <w:noProof/>
              <w:sz w:val="24"/>
              <w:lang w:val="cs-CZ" w:eastAsia="ja-JP"/>
            </w:rPr>
            <w:tab/>
          </w:r>
          <w:r>
            <w:rPr>
              <w:noProof/>
            </w:rPr>
            <w:t>Případová studie – Francie: sdílení sítí 2G, 3G a 4G</w:t>
          </w:r>
          <w:r>
            <w:rPr>
              <w:noProof/>
            </w:rPr>
            <w:tab/>
          </w:r>
          <w:r>
            <w:rPr>
              <w:noProof/>
            </w:rPr>
            <w:fldChar w:fldCharType="begin"/>
          </w:r>
          <w:r>
            <w:rPr>
              <w:noProof/>
            </w:rPr>
            <w:instrText xml:space="preserve"> PAGEREF _Toc301423672 \h </w:instrText>
          </w:r>
          <w:r>
            <w:rPr>
              <w:noProof/>
            </w:rPr>
          </w:r>
          <w:r>
            <w:rPr>
              <w:noProof/>
            </w:rPr>
            <w:fldChar w:fldCharType="separate"/>
          </w:r>
          <w:r w:rsidR="00DF4E36">
            <w:rPr>
              <w:noProof/>
            </w:rPr>
            <w:t>26</w:t>
          </w:r>
          <w:r>
            <w:rPr>
              <w:noProof/>
            </w:rPr>
            <w:fldChar w:fldCharType="end"/>
          </w:r>
        </w:p>
        <w:p w14:paraId="3FDD71F9" w14:textId="77777777" w:rsidR="00C95099" w:rsidRDefault="00C95099">
          <w:pPr>
            <w:pStyle w:val="Obsah2"/>
            <w:tabs>
              <w:tab w:val="left" w:pos="574"/>
            </w:tabs>
            <w:rPr>
              <w:rFonts w:asciiTheme="minorHAnsi" w:eastAsiaTheme="minorEastAsia" w:hAnsiTheme="minorHAnsi" w:cstheme="minorBidi"/>
              <w:noProof/>
              <w:sz w:val="24"/>
              <w:lang w:val="cs-CZ" w:eastAsia="ja-JP"/>
            </w:rPr>
          </w:pPr>
          <w:r>
            <w:rPr>
              <w:noProof/>
            </w:rPr>
            <w:t>2.3.</w:t>
          </w:r>
          <w:r>
            <w:rPr>
              <w:rFonts w:asciiTheme="minorHAnsi" w:eastAsiaTheme="minorEastAsia" w:hAnsiTheme="minorHAnsi" w:cstheme="minorBidi"/>
              <w:noProof/>
              <w:sz w:val="24"/>
              <w:lang w:val="cs-CZ" w:eastAsia="ja-JP"/>
            </w:rPr>
            <w:tab/>
          </w:r>
          <w:r>
            <w:rPr>
              <w:noProof/>
            </w:rPr>
            <w:t>Případová studie – Velká Británie</w:t>
          </w:r>
          <w:r>
            <w:rPr>
              <w:noProof/>
            </w:rPr>
            <w:tab/>
          </w:r>
          <w:r>
            <w:rPr>
              <w:noProof/>
            </w:rPr>
            <w:fldChar w:fldCharType="begin"/>
          </w:r>
          <w:r>
            <w:rPr>
              <w:noProof/>
            </w:rPr>
            <w:instrText xml:space="preserve"> PAGEREF _Toc301423673 \h </w:instrText>
          </w:r>
          <w:r>
            <w:rPr>
              <w:noProof/>
            </w:rPr>
          </w:r>
          <w:r>
            <w:rPr>
              <w:noProof/>
            </w:rPr>
            <w:fldChar w:fldCharType="separate"/>
          </w:r>
          <w:r w:rsidR="00DF4E36">
            <w:rPr>
              <w:noProof/>
            </w:rPr>
            <w:t>30</w:t>
          </w:r>
          <w:r>
            <w:rPr>
              <w:noProof/>
            </w:rPr>
            <w:fldChar w:fldCharType="end"/>
          </w:r>
        </w:p>
        <w:p w14:paraId="2D6A2D42" w14:textId="77777777" w:rsidR="00C95099" w:rsidRDefault="00C95099">
          <w:pPr>
            <w:pStyle w:val="Obsah2"/>
            <w:tabs>
              <w:tab w:val="left" w:pos="574"/>
            </w:tabs>
            <w:rPr>
              <w:rFonts w:asciiTheme="minorHAnsi" w:eastAsiaTheme="minorEastAsia" w:hAnsiTheme="minorHAnsi" w:cstheme="minorBidi"/>
              <w:noProof/>
              <w:sz w:val="24"/>
              <w:lang w:val="cs-CZ" w:eastAsia="ja-JP"/>
            </w:rPr>
          </w:pPr>
          <w:r>
            <w:rPr>
              <w:noProof/>
            </w:rPr>
            <w:t>2.4.</w:t>
          </w:r>
          <w:r>
            <w:rPr>
              <w:rFonts w:asciiTheme="minorHAnsi" w:eastAsiaTheme="minorEastAsia" w:hAnsiTheme="minorHAnsi" w:cstheme="minorBidi"/>
              <w:noProof/>
              <w:sz w:val="24"/>
              <w:lang w:val="cs-CZ" w:eastAsia="ja-JP"/>
            </w:rPr>
            <w:tab/>
          </w:r>
          <w:r>
            <w:rPr>
              <w:noProof/>
            </w:rPr>
            <w:t>Dílčí případová studie: Sdílení sítí a regulace výměny informací v Dánsku</w:t>
          </w:r>
          <w:r>
            <w:rPr>
              <w:noProof/>
            </w:rPr>
            <w:tab/>
          </w:r>
          <w:r>
            <w:rPr>
              <w:noProof/>
            </w:rPr>
            <w:fldChar w:fldCharType="begin"/>
          </w:r>
          <w:r>
            <w:rPr>
              <w:noProof/>
            </w:rPr>
            <w:instrText xml:space="preserve"> PAGEREF _Toc301423674 \h </w:instrText>
          </w:r>
          <w:r>
            <w:rPr>
              <w:noProof/>
            </w:rPr>
          </w:r>
          <w:r>
            <w:rPr>
              <w:noProof/>
            </w:rPr>
            <w:fldChar w:fldCharType="separate"/>
          </w:r>
          <w:r w:rsidR="00DF4E36">
            <w:rPr>
              <w:noProof/>
            </w:rPr>
            <w:t>34</w:t>
          </w:r>
          <w:r>
            <w:rPr>
              <w:noProof/>
            </w:rPr>
            <w:fldChar w:fldCharType="end"/>
          </w:r>
        </w:p>
        <w:p w14:paraId="5D57019C" w14:textId="77777777" w:rsidR="00C95099" w:rsidRDefault="00C95099">
          <w:pPr>
            <w:pStyle w:val="Obsah2"/>
            <w:tabs>
              <w:tab w:val="left" w:pos="574"/>
            </w:tabs>
            <w:rPr>
              <w:rFonts w:asciiTheme="minorHAnsi" w:eastAsiaTheme="minorEastAsia" w:hAnsiTheme="minorHAnsi" w:cstheme="minorBidi"/>
              <w:noProof/>
              <w:sz w:val="24"/>
              <w:lang w:val="cs-CZ" w:eastAsia="ja-JP"/>
            </w:rPr>
          </w:pPr>
          <w:r>
            <w:rPr>
              <w:noProof/>
            </w:rPr>
            <w:t>2.5.</w:t>
          </w:r>
          <w:r>
            <w:rPr>
              <w:rFonts w:asciiTheme="minorHAnsi" w:eastAsiaTheme="minorEastAsia" w:hAnsiTheme="minorHAnsi" w:cstheme="minorBidi"/>
              <w:noProof/>
              <w:sz w:val="24"/>
              <w:lang w:val="cs-CZ" w:eastAsia="ja-JP"/>
            </w:rPr>
            <w:tab/>
          </w:r>
          <w:r>
            <w:rPr>
              <w:noProof/>
            </w:rPr>
            <w:t>Dílčí případová studie: Ekonomická zdůvodnitelnost výstavby sdílených a paralelních sítí v Německu</w:t>
          </w:r>
          <w:r>
            <w:rPr>
              <w:noProof/>
            </w:rPr>
            <w:tab/>
          </w:r>
          <w:r>
            <w:rPr>
              <w:noProof/>
            </w:rPr>
            <w:fldChar w:fldCharType="begin"/>
          </w:r>
          <w:r>
            <w:rPr>
              <w:noProof/>
            </w:rPr>
            <w:instrText xml:space="preserve"> PAGEREF _Toc301423675 \h </w:instrText>
          </w:r>
          <w:r>
            <w:rPr>
              <w:noProof/>
            </w:rPr>
          </w:r>
          <w:r>
            <w:rPr>
              <w:noProof/>
            </w:rPr>
            <w:fldChar w:fldCharType="separate"/>
          </w:r>
          <w:r w:rsidR="00DF4E36">
            <w:rPr>
              <w:noProof/>
            </w:rPr>
            <w:t>34</w:t>
          </w:r>
          <w:r>
            <w:rPr>
              <w:noProof/>
            </w:rPr>
            <w:fldChar w:fldCharType="end"/>
          </w:r>
        </w:p>
        <w:p w14:paraId="6DE5A632" w14:textId="77777777" w:rsidR="00C95099" w:rsidRDefault="00C95099">
          <w:pPr>
            <w:pStyle w:val="Obsah1"/>
            <w:tabs>
              <w:tab w:val="left" w:pos="407"/>
            </w:tabs>
            <w:rPr>
              <w:rFonts w:asciiTheme="minorHAnsi" w:eastAsiaTheme="minorEastAsia" w:hAnsiTheme="minorHAnsi" w:cstheme="minorBidi"/>
              <w:noProof/>
              <w:sz w:val="24"/>
              <w:lang w:val="cs-CZ" w:eastAsia="ja-JP"/>
            </w:rPr>
          </w:pPr>
          <w:r w:rsidRPr="0016572F">
            <w:rPr>
              <w:noProof/>
              <w:lang w:val="cs-CZ"/>
            </w:rPr>
            <w:t>3.</w:t>
          </w:r>
          <w:r>
            <w:rPr>
              <w:rFonts w:asciiTheme="minorHAnsi" w:eastAsiaTheme="minorEastAsia" w:hAnsiTheme="minorHAnsi" w:cstheme="minorBidi"/>
              <w:noProof/>
              <w:sz w:val="24"/>
              <w:lang w:val="cs-CZ" w:eastAsia="ja-JP"/>
            </w:rPr>
            <w:tab/>
          </w:r>
          <w:r w:rsidRPr="0016572F">
            <w:rPr>
              <w:noProof/>
              <w:lang w:val="cs-CZ"/>
            </w:rPr>
            <w:t>Sdílení sítí v České republice</w:t>
          </w:r>
          <w:r>
            <w:rPr>
              <w:noProof/>
            </w:rPr>
            <w:tab/>
          </w:r>
          <w:r>
            <w:rPr>
              <w:noProof/>
            </w:rPr>
            <w:fldChar w:fldCharType="begin"/>
          </w:r>
          <w:r>
            <w:rPr>
              <w:noProof/>
            </w:rPr>
            <w:instrText xml:space="preserve"> PAGEREF _Toc301423676 \h </w:instrText>
          </w:r>
          <w:r>
            <w:rPr>
              <w:noProof/>
            </w:rPr>
          </w:r>
          <w:r>
            <w:rPr>
              <w:noProof/>
            </w:rPr>
            <w:fldChar w:fldCharType="separate"/>
          </w:r>
          <w:r w:rsidR="00DF4E36">
            <w:rPr>
              <w:noProof/>
            </w:rPr>
            <w:t>35</w:t>
          </w:r>
          <w:r>
            <w:rPr>
              <w:noProof/>
            </w:rPr>
            <w:fldChar w:fldCharType="end"/>
          </w:r>
        </w:p>
        <w:p w14:paraId="1E25B4EB" w14:textId="77777777" w:rsidR="00C95099" w:rsidRDefault="00C95099">
          <w:pPr>
            <w:pStyle w:val="Obsah1"/>
            <w:tabs>
              <w:tab w:val="left" w:pos="407"/>
            </w:tabs>
            <w:rPr>
              <w:rFonts w:asciiTheme="minorHAnsi" w:eastAsiaTheme="minorEastAsia" w:hAnsiTheme="minorHAnsi" w:cstheme="minorBidi"/>
              <w:noProof/>
              <w:sz w:val="24"/>
              <w:lang w:val="cs-CZ" w:eastAsia="ja-JP"/>
            </w:rPr>
          </w:pPr>
          <w:r w:rsidRPr="0016572F">
            <w:rPr>
              <w:noProof/>
              <w:lang w:val="cs-CZ"/>
            </w:rPr>
            <w:t>4.</w:t>
          </w:r>
          <w:r>
            <w:rPr>
              <w:rFonts w:asciiTheme="minorHAnsi" w:eastAsiaTheme="minorEastAsia" w:hAnsiTheme="minorHAnsi" w:cstheme="minorBidi"/>
              <w:noProof/>
              <w:sz w:val="24"/>
              <w:lang w:val="cs-CZ" w:eastAsia="ja-JP"/>
            </w:rPr>
            <w:tab/>
          </w:r>
          <w:r w:rsidRPr="0016572F">
            <w:rPr>
              <w:noProof/>
              <w:lang w:val="cs-CZ"/>
            </w:rPr>
            <w:t>Vyhodnocení sdílení sítí v České republice v kontextu EU benchmarku</w:t>
          </w:r>
          <w:r>
            <w:rPr>
              <w:noProof/>
            </w:rPr>
            <w:tab/>
          </w:r>
          <w:r>
            <w:rPr>
              <w:noProof/>
            </w:rPr>
            <w:fldChar w:fldCharType="begin"/>
          </w:r>
          <w:r>
            <w:rPr>
              <w:noProof/>
            </w:rPr>
            <w:instrText xml:space="preserve"> PAGEREF _Toc301423677 \h </w:instrText>
          </w:r>
          <w:r>
            <w:rPr>
              <w:noProof/>
            </w:rPr>
          </w:r>
          <w:r>
            <w:rPr>
              <w:noProof/>
            </w:rPr>
            <w:fldChar w:fldCharType="separate"/>
          </w:r>
          <w:r w:rsidR="00DF4E36">
            <w:rPr>
              <w:noProof/>
            </w:rPr>
            <w:t>35</w:t>
          </w:r>
          <w:r>
            <w:rPr>
              <w:noProof/>
            </w:rPr>
            <w:fldChar w:fldCharType="end"/>
          </w:r>
        </w:p>
        <w:p w14:paraId="279A4C73" w14:textId="77777777" w:rsidR="00C95099" w:rsidRDefault="00C95099">
          <w:pPr>
            <w:pStyle w:val="Obsah1"/>
            <w:tabs>
              <w:tab w:val="left" w:pos="407"/>
            </w:tabs>
            <w:rPr>
              <w:rFonts w:asciiTheme="minorHAnsi" w:eastAsiaTheme="minorEastAsia" w:hAnsiTheme="minorHAnsi" w:cstheme="minorBidi"/>
              <w:noProof/>
              <w:sz w:val="24"/>
              <w:lang w:val="cs-CZ" w:eastAsia="ja-JP"/>
            </w:rPr>
          </w:pPr>
          <w:r w:rsidRPr="0016572F">
            <w:rPr>
              <w:noProof/>
              <w:lang w:val="cs-CZ"/>
            </w:rPr>
            <w:t>5.</w:t>
          </w:r>
          <w:r>
            <w:rPr>
              <w:rFonts w:asciiTheme="minorHAnsi" w:eastAsiaTheme="minorEastAsia" w:hAnsiTheme="minorHAnsi" w:cstheme="minorBidi"/>
              <w:noProof/>
              <w:sz w:val="24"/>
              <w:lang w:val="cs-CZ" w:eastAsia="ja-JP"/>
            </w:rPr>
            <w:tab/>
          </w:r>
          <w:r w:rsidRPr="0016572F">
            <w:rPr>
              <w:noProof/>
              <w:lang w:val="cs-CZ"/>
            </w:rPr>
            <w:t>Dopad sdílení sítí na hospodářskou soutěž dle evropského práva</w:t>
          </w:r>
          <w:r>
            <w:rPr>
              <w:noProof/>
            </w:rPr>
            <w:tab/>
          </w:r>
          <w:r>
            <w:rPr>
              <w:noProof/>
            </w:rPr>
            <w:fldChar w:fldCharType="begin"/>
          </w:r>
          <w:r>
            <w:rPr>
              <w:noProof/>
            </w:rPr>
            <w:instrText xml:space="preserve"> PAGEREF _Toc301423678 \h </w:instrText>
          </w:r>
          <w:r>
            <w:rPr>
              <w:noProof/>
            </w:rPr>
          </w:r>
          <w:r>
            <w:rPr>
              <w:noProof/>
            </w:rPr>
            <w:fldChar w:fldCharType="separate"/>
          </w:r>
          <w:r w:rsidR="00DF4E36">
            <w:rPr>
              <w:noProof/>
            </w:rPr>
            <w:t>36</w:t>
          </w:r>
          <w:r>
            <w:rPr>
              <w:noProof/>
            </w:rPr>
            <w:fldChar w:fldCharType="end"/>
          </w:r>
        </w:p>
        <w:p w14:paraId="6573B0A4" w14:textId="77777777" w:rsidR="00C95099" w:rsidRDefault="00C95099">
          <w:pPr>
            <w:pStyle w:val="Obsah2"/>
            <w:tabs>
              <w:tab w:val="left" w:pos="574"/>
            </w:tabs>
            <w:rPr>
              <w:rFonts w:asciiTheme="minorHAnsi" w:eastAsiaTheme="minorEastAsia" w:hAnsiTheme="minorHAnsi" w:cstheme="minorBidi"/>
              <w:noProof/>
              <w:sz w:val="24"/>
              <w:lang w:val="cs-CZ" w:eastAsia="ja-JP"/>
            </w:rPr>
          </w:pPr>
          <w:r>
            <w:rPr>
              <w:noProof/>
            </w:rPr>
            <w:t>5.1.</w:t>
          </w:r>
          <w:r>
            <w:rPr>
              <w:rFonts w:asciiTheme="minorHAnsi" w:eastAsiaTheme="minorEastAsia" w:hAnsiTheme="minorHAnsi" w:cstheme="minorBidi"/>
              <w:noProof/>
              <w:sz w:val="24"/>
              <w:lang w:val="cs-CZ" w:eastAsia="ja-JP"/>
            </w:rPr>
            <w:tab/>
          </w:r>
          <w:r>
            <w:rPr>
              <w:noProof/>
            </w:rPr>
            <w:t>Dopad sdílení sítí na hospodářskou soutěž dle Sdělení Komise č. 2011/C 11/01</w:t>
          </w:r>
          <w:r>
            <w:rPr>
              <w:noProof/>
            </w:rPr>
            <w:tab/>
          </w:r>
          <w:r>
            <w:rPr>
              <w:noProof/>
            </w:rPr>
            <w:fldChar w:fldCharType="begin"/>
          </w:r>
          <w:r>
            <w:rPr>
              <w:noProof/>
            </w:rPr>
            <w:instrText xml:space="preserve"> PAGEREF _Toc301423679 \h </w:instrText>
          </w:r>
          <w:r>
            <w:rPr>
              <w:noProof/>
            </w:rPr>
          </w:r>
          <w:r>
            <w:rPr>
              <w:noProof/>
            </w:rPr>
            <w:fldChar w:fldCharType="separate"/>
          </w:r>
          <w:r w:rsidR="00DF4E36">
            <w:rPr>
              <w:noProof/>
            </w:rPr>
            <w:t>36</w:t>
          </w:r>
          <w:r>
            <w:rPr>
              <w:noProof/>
            </w:rPr>
            <w:fldChar w:fldCharType="end"/>
          </w:r>
        </w:p>
        <w:p w14:paraId="224C6DC1" w14:textId="77777777" w:rsidR="00C95099" w:rsidRDefault="00C95099">
          <w:pPr>
            <w:pStyle w:val="Obsah2"/>
            <w:tabs>
              <w:tab w:val="left" w:pos="574"/>
            </w:tabs>
            <w:rPr>
              <w:rFonts w:asciiTheme="minorHAnsi" w:eastAsiaTheme="minorEastAsia" w:hAnsiTheme="minorHAnsi" w:cstheme="minorBidi"/>
              <w:noProof/>
              <w:sz w:val="24"/>
              <w:lang w:val="cs-CZ" w:eastAsia="ja-JP"/>
            </w:rPr>
          </w:pPr>
          <w:r>
            <w:rPr>
              <w:noProof/>
            </w:rPr>
            <w:t>5.2.</w:t>
          </w:r>
          <w:r>
            <w:rPr>
              <w:rFonts w:asciiTheme="minorHAnsi" w:eastAsiaTheme="minorEastAsia" w:hAnsiTheme="minorHAnsi" w:cstheme="minorBidi"/>
              <w:noProof/>
              <w:sz w:val="24"/>
              <w:lang w:val="cs-CZ" w:eastAsia="ja-JP"/>
            </w:rPr>
            <w:tab/>
          </w:r>
          <w:r>
            <w:rPr>
              <w:noProof/>
            </w:rPr>
            <w:t>Dopad sdílení sítí na hospodářskou soutěž dle rozhodovací praxe v členských státech EU</w:t>
          </w:r>
          <w:r>
            <w:rPr>
              <w:noProof/>
            </w:rPr>
            <w:tab/>
          </w:r>
          <w:r>
            <w:rPr>
              <w:noProof/>
            </w:rPr>
            <w:fldChar w:fldCharType="begin"/>
          </w:r>
          <w:r>
            <w:rPr>
              <w:noProof/>
            </w:rPr>
            <w:instrText xml:space="preserve"> PAGEREF _Toc301423680 \h </w:instrText>
          </w:r>
          <w:r>
            <w:rPr>
              <w:noProof/>
            </w:rPr>
          </w:r>
          <w:r>
            <w:rPr>
              <w:noProof/>
            </w:rPr>
            <w:fldChar w:fldCharType="separate"/>
          </w:r>
          <w:r w:rsidR="00DF4E36">
            <w:rPr>
              <w:noProof/>
            </w:rPr>
            <w:t>38</w:t>
          </w:r>
          <w:r>
            <w:rPr>
              <w:noProof/>
            </w:rPr>
            <w:fldChar w:fldCharType="end"/>
          </w:r>
        </w:p>
        <w:p w14:paraId="691B4759" w14:textId="77777777" w:rsidR="00C95099" w:rsidRDefault="00C95099">
          <w:pPr>
            <w:pStyle w:val="Obsah1"/>
            <w:tabs>
              <w:tab w:val="left" w:pos="407"/>
            </w:tabs>
            <w:rPr>
              <w:rFonts w:asciiTheme="minorHAnsi" w:eastAsiaTheme="minorEastAsia" w:hAnsiTheme="minorHAnsi" w:cstheme="minorBidi"/>
              <w:noProof/>
              <w:sz w:val="24"/>
              <w:lang w:val="cs-CZ" w:eastAsia="ja-JP"/>
            </w:rPr>
          </w:pPr>
          <w:r w:rsidRPr="0016572F">
            <w:rPr>
              <w:noProof/>
              <w:lang w:val="cs-CZ"/>
            </w:rPr>
            <w:t>6.</w:t>
          </w:r>
          <w:r>
            <w:rPr>
              <w:rFonts w:asciiTheme="minorHAnsi" w:eastAsiaTheme="minorEastAsia" w:hAnsiTheme="minorHAnsi" w:cstheme="minorBidi"/>
              <w:noProof/>
              <w:sz w:val="24"/>
              <w:lang w:val="cs-CZ" w:eastAsia="ja-JP"/>
            </w:rPr>
            <w:tab/>
          </w:r>
          <w:r w:rsidRPr="0016572F">
            <w:rPr>
              <w:noProof/>
              <w:lang w:val="cs-CZ"/>
            </w:rPr>
            <w:t>Dopad sdílení sítí na hospodářskou soutěž v České republice dle jednotlivých rizikových oblastí identifikovaných v rozhodovací praxi EU</w:t>
          </w:r>
          <w:r>
            <w:rPr>
              <w:noProof/>
            </w:rPr>
            <w:tab/>
          </w:r>
          <w:r>
            <w:rPr>
              <w:noProof/>
            </w:rPr>
            <w:fldChar w:fldCharType="begin"/>
          </w:r>
          <w:r>
            <w:rPr>
              <w:noProof/>
            </w:rPr>
            <w:instrText xml:space="preserve"> PAGEREF _Toc301423681 \h </w:instrText>
          </w:r>
          <w:r>
            <w:rPr>
              <w:noProof/>
            </w:rPr>
          </w:r>
          <w:r>
            <w:rPr>
              <w:noProof/>
            </w:rPr>
            <w:fldChar w:fldCharType="separate"/>
          </w:r>
          <w:r w:rsidR="00DF4E36">
            <w:rPr>
              <w:noProof/>
            </w:rPr>
            <w:t>38</w:t>
          </w:r>
          <w:r>
            <w:rPr>
              <w:noProof/>
            </w:rPr>
            <w:fldChar w:fldCharType="end"/>
          </w:r>
        </w:p>
        <w:p w14:paraId="568D110D" w14:textId="77777777" w:rsidR="00C95099" w:rsidRDefault="00C95099">
          <w:pPr>
            <w:pStyle w:val="Obsah2"/>
            <w:tabs>
              <w:tab w:val="left" w:pos="574"/>
            </w:tabs>
            <w:rPr>
              <w:rFonts w:asciiTheme="minorHAnsi" w:eastAsiaTheme="minorEastAsia" w:hAnsiTheme="minorHAnsi" w:cstheme="minorBidi"/>
              <w:noProof/>
              <w:sz w:val="24"/>
              <w:lang w:val="cs-CZ" w:eastAsia="ja-JP"/>
            </w:rPr>
          </w:pPr>
          <w:r>
            <w:rPr>
              <w:noProof/>
            </w:rPr>
            <w:t>6.1.</w:t>
          </w:r>
          <w:r>
            <w:rPr>
              <w:rFonts w:asciiTheme="minorHAnsi" w:eastAsiaTheme="minorEastAsia" w:hAnsiTheme="minorHAnsi" w:cstheme="minorBidi"/>
              <w:noProof/>
              <w:sz w:val="24"/>
              <w:lang w:val="cs-CZ" w:eastAsia="ja-JP"/>
            </w:rPr>
            <w:tab/>
          </w:r>
          <w:r>
            <w:rPr>
              <w:noProof/>
            </w:rPr>
            <w:t>Omezení soutěže v oblasti výstavby a údržby sítí</w:t>
          </w:r>
          <w:r>
            <w:rPr>
              <w:noProof/>
            </w:rPr>
            <w:tab/>
          </w:r>
          <w:r>
            <w:rPr>
              <w:noProof/>
            </w:rPr>
            <w:fldChar w:fldCharType="begin"/>
          </w:r>
          <w:r>
            <w:rPr>
              <w:noProof/>
            </w:rPr>
            <w:instrText xml:space="preserve"> PAGEREF _Toc301423682 \h </w:instrText>
          </w:r>
          <w:r>
            <w:rPr>
              <w:noProof/>
            </w:rPr>
          </w:r>
          <w:r>
            <w:rPr>
              <w:noProof/>
            </w:rPr>
            <w:fldChar w:fldCharType="separate"/>
          </w:r>
          <w:r w:rsidR="00DF4E36">
            <w:rPr>
              <w:noProof/>
            </w:rPr>
            <w:t>38</w:t>
          </w:r>
          <w:r>
            <w:rPr>
              <w:noProof/>
            </w:rPr>
            <w:fldChar w:fldCharType="end"/>
          </w:r>
        </w:p>
        <w:p w14:paraId="7CD3F2E4" w14:textId="77777777" w:rsidR="00C95099" w:rsidRDefault="00C95099">
          <w:pPr>
            <w:pStyle w:val="Obsah2"/>
            <w:tabs>
              <w:tab w:val="left" w:pos="740"/>
            </w:tabs>
            <w:rPr>
              <w:rFonts w:asciiTheme="minorHAnsi" w:eastAsiaTheme="minorEastAsia" w:hAnsiTheme="minorHAnsi" w:cstheme="minorBidi"/>
              <w:noProof/>
              <w:sz w:val="24"/>
              <w:lang w:val="cs-CZ" w:eastAsia="ja-JP"/>
            </w:rPr>
          </w:pPr>
          <w:r w:rsidRPr="0016572F">
            <w:rPr>
              <w:i/>
              <w:noProof/>
            </w:rPr>
            <w:t>6.1.1.</w:t>
          </w:r>
          <w:r>
            <w:rPr>
              <w:rFonts w:asciiTheme="minorHAnsi" w:eastAsiaTheme="minorEastAsia" w:hAnsiTheme="minorHAnsi" w:cstheme="minorBidi"/>
              <w:noProof/>
              <w:sz w:val="24"/>
              <w:lang w:val="cs-CZ" w:eastAsia="ja-JP"/>
            </w:rPr>
            <w:tab/>
          </w:r>
          <w:r w:rsidRPr="0016572F">
            <w:rPr>
              <w:i/>
              <w:noProof/>
            </w:rPr>
            <w:t>Rozhodovací praxe v EU</w:t>
          </w:r>
          <w:r>
            <w:rPr>
              <w:noProof/>
            </w:rPr>
            <w:tab/>
          </w:r>
          <w:r>
            <w:rPr>
              <w:noProof/>
            </w:rPr>
            <w:fldChar w:fldCharType="begin"/>
          </w:r>
          <w:r>
            <w:rPr>
              <w:noProof/>
            </w:rPr>
            <w:instrText xml:space="preserve"> PAGEREF _Toc301423683 \h </w:instrText>
          </w:r>
          <w:r>
            <w:rPr>
              <w:noProof/>
            </w:rPr>
          </w:r>
          <w:r>
            <w:rPr>
              <w:noProof/>
            </w:rPr>
            <w:fldChar w:fldCharType="separate"/>
          </w:r>
          <w:r w:rsidR="00DF4E36">
            <w:rPr>
              <w:noProof/>
            </w:rPr>
            <w:t>38</w:t>
          </w:r>
          <w:r>
            <w:rPr>
              <w:noProof/>
            </w:rPr>
            <w:fldChar w:fldCharType="end"/>
          </w:r>
        </w:p>
        <w:p w14:paraId="6A1A067E" w14:textId="77777777" w:rsidR="00C95099" w:rsidRDefault="00C95099">
          <w:pPr>
            <w:pStyle w:val="Obsah2"/>
            <w:tabs>
              <w:tab w:val="left" w:pos="740"/>
            </w:tabs>
            <w:rPr>
              <w:rFonts w:asciiTheme="minorHAnsi" w:eastAsiaTheme="minorEastAsia" w:hAnsiTheme="minorHAnsi" w:cstheme="minorBidi"/>
              <w:noProof/>
              <w:sz w:val="24"/>
              <w:lang w:val="cs-CZ" w:eastAsia="ja-JP"/>
            </w:rPr>
          </w:pPr>
          <w:r w:rsidRPr="0016572F">
            <w:rPr>
              <w:i/>
              <w:noProof/>
            </w:rPr>
            <w:t>6.1.2.</w:t>
          </w:r>
          <w:r>
            <w:rPr>
              <w:rFonts w:asciiTheme="minorHAnsi" w:eastAsiaTheme="minorEastAsia" w:hAnsiTheme="minorHAnsi" w:cstheme="minorBidi"/>
              <w:noProof/>
              <w:sz w:val="24"/>
              <w:lang w:val="cs-CZ" w:eastAsia="ja-JP"/>
            </w:rPr>
            <w:tab/>
          </w:r>
          <w:r w:rsidRPr="0016572F">
            <w:rPr>
              <w:i/>
              <w:noProof/>
            </w:rPr>
            <w:t>Podmínky sdílení sítí 2G a 3G v České republice</w:t>
          </w:r>
          <w:r>
            <w:rPr>
              <w:noProof/>
            </w:rPr>
            <w:tab/>
          </w:r>
          <w:r>
            <w:rPr>
              <w:noProof/>
            </w:rPr>
            <w:fldChar w:fldCharType="begin"/>
          </w:r>
          <w:r>
            <w:rPr>
              <w:noProof/>
            </w:rPr>
            <w:instrText xml:space="preserve"> PAGEREF _Toc301423684 \h </w:instrText>
          </w:r>
          <w:r>
            <w:rPr>
              <w:noProof/>
            </w:rPr>
          </w:r>
          <w:r>
            <w:rPr>
              <w:noProof/>
            </w:rPr>
            <w:fldChar w:fldCharType="separate"/>
          </w:r>
          <w:r w:rsidR="00DF4E36">
            <w:rPr>
              <w:noProof/>
            </w:rPr>
            <w:t>39</w:t>
          </w:r>
          <w:r>
            <w:rPr>
              <w:noProof/>
            </w:rPr>
            <w:fldChar w:fldCharType="end"/>
          </w:r>
        </w:p>
        <w:p w14:paraId="0377FEBF" w14:textId="77777777" w:rsidR="00C95099" w:rsidRDefault="00C95099">
          <w:pPr>
            <w:pStyle w:val="Obsah2"/>
            <w:tabs>
              <w:tab w:val="left" w:pos="740"/>
            </w:tabs>
            <w:rPr>
              <w:rFonts w:asciiTheme="minorHAnsi" w:eastAsiaTheme="minorEastAsia" w:hAnsiTheme="minorHAnsi" w:cstheme="minorBidi"/>
              <w:noProof/>
              <w:sz w:val="24"/>
              <w:lang w:val="cs-CZ" w:eastAsia="ja-JP"/>
            </w:rPr>
          </w:pPr>
          <w:r w:rsidRPr="0016572F">
            <w:rPr>
              <w:i/>
              <w:noProof/>
            </w:rPr>
            <w:t>6.1.3.</w:t>
          </w:r>
          <w:r>
            <w:rPr>
              <w:rFonts w:asciiTheme="minorHAnsi" w:eastAsiaTheme="minorEastAsia" w:hAnsiTheme="minorHAnsi" w:cstheme="minorBidi"/>
              <w:noProof/>
              <w:sz w:val="24"/>
              <w:lang w:val="cs-CZ" w:eastAsia="ja-JP"/>
            </w:rPr>
            <w:tab/>
          </w:r>
          <w:r w:rsidRPr="0016572F">
            <w:rPr>
              <w:i/>
              <w:noProof/>
            </w:rPr>
            <w:t>Podmínky sdílení 4G sítí v České republice</w:t>
          </w:r>
          <w:r>
            <w:rPr>
              <w:noProof/>
            </w:rPr>
            <w:tab/>
          </w:r>
          <w:r>
            <w:rPr>
              <w:noProof/>
            </w:rPr>
            <w:fldChar w:fldCharType="begin"/>
          </w:r>
          <w:r>
            <w:rPr>
              <w:noProof/>
            </w:rPr>
            <w:instrText xml:space="preserve"> PAGEREF _Toc301423685 \h </w:instrText>
          </w:r>
          <w:r>
            <w:rPr>
              <w:noProof/>
            </w:rPr>
          </w:r>
          <w:r>
            <w:rPr>
              <w:noProof/>
            </w:rPr>
            <w:fldChar w:fldCharType="separate"/>
          </w:r>
          <w:r w:rsidR="00DF4E36">
            <w:rPr>
              <w:noProof/>
            </w:rPr>
            <w:t>39</w:t>
          </w:r>
          <w:r>
            <w:rPr>
              <w:noProof/>
            </w:rPr>
            <w:fldChar w:fldCharType="end"/>
          </w:r>
        </w:p>
        <w:p w14:paraId="2D74993D" w14:textId="77777777" w:rsidR="00C95099" w:rsidRDefault="00C95099">
          <w:pPr>
            <w:pStyle w:val="Obsah2"/>
            <w:tabs>
              <w:tab w:val="left" w:pos="740"/>
            </w:tabs>
            <w:rPr>
              <w:rFonts w:asciiTheme="minorHAnsi" w:eastAsiaTheme="minorEastAsia" w:hAnsiTheme="minorHAnsi" w:cstheme="minorBidi"/>
              <w:noProof/>
              <w:sz w:val="24"/>
              <w:lang w:val="cs-CZ" w:eastAsia="ja-JP"/>
            </w:rPr>
          </w:pPr>
          <w:r w:rsidRPr="0016572F">
            <w:rPr>
              <w:i/>
              <w:noProof/>
            </w:rPr>
            <w:t>6.1.4.</w:t>
          </w:r>
          <w:r>
            <w:rPr>
              <w:rFonts w:asciiTheme="minorHAnsi" w:eastAsiaTheme="minorEastAsia" w:hAnsiTheme="minorHAnsi" w:cstheme="minorBidi"/>
              <w:noProof/>
              <w:sz w:val="24"/>
              <w:lang w:val="cs-CZ" w:eastAsia="ja-JP"/>
            </w:rPr>
            <w:tab/>
          </w:r>
          <w:r w:rsidRPr="0016572F">
            <w:rPr>
              <w:i/>
              <w:noProof/>
            </w:rPr>
            <w:t>Právní vyhodnocení dopadů sdílení sítí v České republice na soutěž v oblasti výstavby a údržby sítí</w:t>
          </w:r>
          <w:r>
            <w:rPr>
              <w:noProof/>
            </w:rPr>
            <w:tab/>
          </w:r>
          <w:r>
            <w:rPr>
              <w:noProof/>
            </w:rPr>
            <w:fldChar w:fldCharType="begin"/>
          </w:r>
          <w:r>
            <w:rPr>
              <w:noProof/>
            </w:rPr>
            <w:instrText xml:space="preserve"> PAGEREF _Toc301423686 \h </w:instrText>
          </w:r>
          <w:r>
            <w:rPr>
              <w:noProof/>
            </w:rPr>
          </w:r>
          <w:r>
            <w:rPr>
              <w:noProof/>
            </w:rPr>
            <w:fldChar w:fldCharType="separate"/>
          </w:r>
          <w:r w:rsidR="00DF4E36">
            <w:rPr>
              <w:noProof/>
            </w:rPr>
            <w:t>40</w:t>
          </w:r>
          <w:r>
            <w:rPr>
              <w:noProof/>
            </w:rPr>
            <w:fldChar w:fldCharType="end"/>
          </w:r>
        </w:p>
        <w:p w14:paraId="6D27874F" w14:textId="77777777" w:rsidR="00C95099" w:rsidRDefault="00C95099">
          <w:pPr>
            <w:pStyle w:val="Obsah2"/>
            <w:tabs>
              <w:tab w:val="left" w:pos="740"/>
            </w:tabs>
            <w:rPr>
              <w:rFonts w:asciiTheme="minorHAnsi" w:eastAsiaTheme="minorEastAsia" w:hAnsiTheme="minorHAnsi" w:cstheme="minorBidi"/>
              <w:noProof/>
              <w:sz w:val="24"/>
              <w:lang w:val="cs-CZ" w:eastAsia="ja-JP"/>
            </w:rPr>
          </w:pPr>
          <w:r w:rsidRPr="0016572F">
            <w:rPr>
              <w:i/>
              <w:noProof/>
            </w:rPr>
            <w:t>6.1.5.</w:t>
          </w:r>
          <w:r>
            <w:rPr>
              <w:rFonts w:asciiTheme="minorHAnsi" w:eastAsiaTheme="minorEastAsia" w:hAnsiTheme="minorHAnsi" w:cstheme="minorBidi"/>
              <w:noProof/>
              <w:sz w:val="24"/>
              <w:lang w:val="cs-CZ" w:eastAsia="ja-JP"/>
            </w:rPr>
            <w:tab/>
          </w:r>
          <w:r w:rsidRPr="0016572F">
            <w:rPr>
              <w:i/>
              <w:noProof/>
            </w:rPr>
            <w:t>Ekonomické vyhodnocení dopadů sdílení sítí v České republice na soutěž v oblasti výstavby a údržby sítí</w:t>
          </w:r>
          <w:r>
            <w:rPr>
              <w:noProof/>
            </w:rPr>
            <w:tab/>
          </w:r>
          <w:r>
            <w:rPr>
              <w:noProof/>
            </w:rPr>
            <w:fldChar w:fldCharType="begin"/>
          </w:r>
          <w:r>
            <w:rPr>
              <w:noProof/>
            </w:rPr>
            <w:instrText xml:space="preserve"> PAGEREF _Toc301423687 \h </w:instrText>
          </w:r>
          <w:r>
            <w:rPr>
              <w:noProof/>
            </w:rPr>
          </w:r>
          <w:r>
            <w:rPr>
              <w:noProof/>
            </w:rPr>
            <w:fldChar w:fldCharType="separate"/>
          </w:r>
          <w:r w:rsidR="00DF4E36">
            <w:rPr>
              <w:noProof/>
            </w:rPr>
            <w:t>40</w:t>
          </w:r>
          <w:r>
            <w:rPr>
              <w:noProof/>
            </w:rPr>
            <w:fldChar w:fldCharType="end"/>
          </w:r>
        </w:p>
        <w:p w14:paraId="207ECCD9" w14:textId="77777777" w:rsidR="00C95099" w:rsidRDefault="00C95099">
          <w:pPr>
            <w:pStyle w:val="Obsah2"/>
            <w:tabs>
              <w:tab w:val="left" w:pos="574"/>
            </w:tabs>
            <w:rPr>
              <w:rFonts w:asciiTheme="minorHAnsi" w:eastAsiaTheme="minorEastAsia" w:hAnsiTheme="minorHAnsi" w:cstheme="minorBidi"/>
              <w:noProof/>
              <w:sz w:val="24"/>
              <w:lang w:val="cs-CZ" w:eastAsia="ja-JP"/>
            </w:rPr>
          </w:pPr>
          <w:r>
            <w:rPr>
              <w:noProof/>
            </w:rPr>
            <w:lastRenderedPageBreak/>
            <w:t>6.2.</w:t>
          </w:r>
          <w:r>
            <w:rPr>
              <w:rFonts w:asciiTheme="minorHAnsi" w:eastAsiaTheme="minorEastAsia" w:hAnsiTheme="minorHAnsi" w:cstheme="minorBidi"/>
              <w:noProof/>
              <w:sz w:val="24"/>
              <w:lang w:val="cs-CZ" w:eastAsia="ja-JP"/>
            </w:rPr>
            <w:tab/>
          </w:r>
          <w:r>
            <w:rPr>
              <w:noProof/>
            </w:rPr>
            <w:t>Výměna informací a riziko koluzivního jednání v dalších oblastech činnosti</w:t>
          </w:r>
          <w:r>
            <w:rPr>
              <w:noProof/>
            </w:rPr>
            <w:tab/>
          </w:r>
          <w:r>
            <w:rPr>
              <w:noProof/>
            </w:rPr>
            <w:fldChar w:fldCharType="begin"/>
          </w:r>
          <w:r>
            <w:rPr>
              <w:noProof/>
            </w:rPr>
            <w:instrText xml:space="preserve"> PAGEREF _Toc301423688 \h </w:instrText>
          </w:r>
          <w:r>
            <w:rPr>
              <w:noProof/>
            </w:rPr>
          </w:r>
          <w:r>
            <w:rPr>
              <w:noProof/>
            </w:rPr>
            <w:fldChar w:fldCharType="separate"/>
          </w:r>
          <w:r w:rsidR="00DF4E36">
            <w:rPr>
              <w:noProof/>
            </w:rPr>
            <w:t>41</w:t>
          </w:r>
          <w:r>
            <w:rPr>
              <w:noProof/>
            </w:rPr>
            <w:fldChar w:fldCharType="end"/>
          </w:r>
        </w:p>
        <w:p w14:paraId="3B857115" w14:textId="77777777" w:rsidR="00C95099" w:rsidRDefault="00C95099">
          <w:pPr>
            <w:pStyle w:val="Obsah2"/>
            <w:tabs>
              <w:tab w:val="left" w:pos="740"/>
            </w:tabs>
            <w:rPr>
              <w:rFonts w:asciiTheme="minorHAnsi" w:eastAsiaTheme="minorEastAsia" w:hAnsiTheme="minorHAnsi" w:cstheme="minorBidi"/>
              <w:noProof/>
              <w:sz w:val="24"/>
              <w:lang w:val="cs-CZ" w:eastAsia="ja-JP"/>
            </w:rPr>
          </w:pPr>
          <w:r w:rsidRPr="0016572F">
            <w:rPr>
              <w:i/>
              <w:noProof/>
            </w:rPr>
            <w:t>6.2.1.</w:t>
          </w:r>
          <w:r>
            <w:rPr>
              <w:rFonts w:asciiTheme="minorHAnsi" w:eastAsiaTheme="minorEastAsia" w:hAnsiTheme="minorHAnsi" w:cstheme="minorBidi"/>
              <w:noProof/>
              <w:sz w:val="24"/>
              <w:lang w:val="cs-CZ" w:eastAsia="ja-JP"/>
            </w:rPr>
            <w:tab/>
          </w:r>
          <w:r w:rsidRPr="0016572F">
            <w:rPr>
              <w:i/>
              <w:noProof/>
            </w:rPr>
            <w:t>Rozhodovací praxe v EU</w:t>
          </w:r>
          <w:r>
            <w:rPr>
              <w:noProof/>
            </w:rPr>
            <w:tab/>
          </w:r>
          <w:r>
            <w:rPr>
              <w:noProof/>
            </w:rPr>
            <w:fldChar w:fldCharType="begin"/>
          </w:r>
          <w:r>
            <w:rPr>
              <w:noProof/>
            </w:rPr>
            <w:instrText xml:space="preserve"> PAGEREF _Toc301423689 \h </w:instrText>
          </w:r>
          <w:r>
            <w:rPr>
              <w:noProof/>
            </w:rPr>
          </w:r>
          <w:r>
            <w:rPr>
              <w:noProof/>
            </w:rPr>
            <w:fldChar w:fldCharType="separate"/>
          </w:r>
          <w:r w:rsidR="00DF4E36">
            <w:rPr>
              <w:noProof/>
            </w:rPr>
            <w:t>41</w:t>
          </w:r>
          <w:r>
            <w:rPr>
              <w:noProof/>
            </w:rPr>
            <w:fldChar w:fldCharType="end"/>
          </w:r>
        </w:p>
        <w:p w14:paraId="094FFAB7" w14:textId="77777777" w:rsidR="00C95099" w:rsidRDefault="00C95099">
          <w:pPr>
            <w:pStyle w:val="Obsah2"/>
            <w:tabs>
              <w:tab w:val="left" w:pos="740"/>
            </w:tabs>
            <w:rPr>
              <w:rFonts w:asciiTheme="minorHAnsi" w:eastAsiaTheme="minorEastAsia" w:hAnsiTheme="minorHAnsi" w:cstheme="minorBidi"/>
              <w:noProof/>
              <w:sz w:val="24"/>
              <w:lang w:val="cs-CZ" w:eastAsia="ja-JP"/>
            </w:rPr>
          </w:pPr>
          <w:r w:rsidRPr="0016572F">
            <w:rPr>
              <w:i/>
              <w:noProof/>
            </w:rPr>
            <w:t>6.2.2.</w:t>
          </w:r>
          <w:r>
            <w:rPr>
              <w:rFonts w:asciiTheme="minorHAnsi" w:eastAsiaTheme="minorEastAsia" w:hAnsiTheme="minorHAnsi" w:cstheme="minorBidi"/>
              <w:noProof/>
              <w:sz w:val="24"/>
              <w:lang w:val="cs-CZ" w:eastAsia="ja-JP"/>
            </w:rPr>
            <w:tab/>
          </w:r>
          <w:r w:rsidRPr="0016572F">
            <w:rPr>
              <w:i/>
              <w:noProof/>
            </w:rPr>
            <w:t>Podmínky sdílení sítí 2G a 3G v České republice</w:t>
          </w:r>
          <w:r>
            <w:rPr>
              <w:noProof/>
            </w:rPr>
            <w:tab/>
          </w:r>
          <w:r>
            <w:rPr>
              <w:noProof/>
            </w:rPr>
            <w:fldChar w:fldCharType="begin"/>
          </w:r>
          <w:r>
            <w:rPr>
              <w:noProof/>
            </w:rPr>
            <w:instrText xml:space="preserve"> PAGEREF _Toc301423690 \h </w:instrText>
          </w:r>
          <w:r>
            <w:rPr>
              <w:noProof/>
            </w:rPr>
          </w:r>
          <w:r>
            <w:rPr>
              <w:noProof/>
            </w:rPr>
            <w:fldChar w:fldCharType="separate"/>
          </w:r>
          <w:r w:rsidR="00DF4E36">
            <w:rPr>
              <w:noProof/>
            </w:rPr>
            <w:t>42</w:t>
          </w:r>
          <w:r>
            <w:rPr>
              <w:noProof/>
            </w:rPr>
            <w:fldChar w:fldCharType="end"/>
          </w:r>
        </w:p>
        <w:p w14:paraId="5C51E7EA" w14:textId="77777777" w:rsidR="00C95099" w:rsidRDefault="00C95099">
          <w:pPr>
            <w:pStyle w:val="Obsah2"/>
            <w:tabs>
              <w:tab w:val="left" w:pos="740"/>
            </w:tabs>
            <w:rPr>
              <w:rFonts w:asciiTheme="minorHAnsi" w:eastAsiaTheme="minorEastAsia" w:hAnsiTheme="minorHAnsi" w:cstheme="minorBidi"/>
              <w:noProof/>
              <w:sz w:val="24"/>
              <w:lang w:val="cs-CZ" w:eastAsia="ja-JP"/>
            </w:rPr>
          </w:pPr>
          <w:r w:rsidRPr="0016572F">
            <w:rPr>
              <w:i/>
              <w:noProof/>
            </w:rPr>
            <w:t>6.2.3.</w:t>
          </w:r>
          <w:r>
            <w:rPr>
              <w:rFonts w:asciiTheme="minorHAnsi" w:eastAsiaTheme="minorEastAsia" w:hAnsiTheme="minorHAnsi" w:cstheme="minorBidi"/>
              <w:noProof/>
              <w:sz w:val="24"/>
              <w:lang w:val="cs-CZ" w:eastAsia="ja-JP"/>
            </w:rPr>
            <w:tab/>
          </w:r>
          <w:r w:rsidRPr="0016572F">
            <w:rPr>
              <w:i/>
              <w:noProof/>
            </w:rPr>
            <w:t>Vyhodnocení dopadů sdílení sítí 2G a 3G v České republice</w:t>
          </w:r>
          <w:r>
            <w:rPr>
              <w:noProof/>
            </w:rPr>
            <w:tab/>
          </w:r>
          <w:r>
            <w:rPr>
              <w:noProof/>
            </w:rPr>
            <w:fldChar w:fldCharType="begin"/>
          </w:r>
          <w:r>
            <w:rPr>
              <w:noProof/>
            </w:rPr>
            <w:instrText xml:space="preserve"> PAGEREF _Toc301423691 \h </w:instrText>
          </w:r>
          <w:r>
            <w:rPr>
              <w:noProof/>
            </w:rPr>
          </w:r>
          <w:r>
            <w:rPr>
              <w:noProof/>
            </w:rPr>
            <w:fldChar w:fldCharType="separate"/>
          </w:r>
          <w:r w:rsidR="00DF4E36">
            <w:rPr>
              <w:noProof/>
            </w:rPr>
            <w:t>42</w:t>
          </w:r>
          <w:r>
            <w:rPr>
              <w:noProof/>
            </w:rPr>
            <w:fldChar w:fldCharType="end"/>
          </w:r>
        </w:p>
        <w:p w14:paraId="4D3AE701" w14:textId="77777777" w:rsidR="00C95099" w:rsidRDefault="00C95099">
          <w:pPr>
            <w:pStyle w:val="Obsah2"/>
            <w:tabs>
              <w:tab w:val="left" w:pos="740"/>
            </w:tabs>
            <w:rPr>
              <w:rFonts w:asciiTheme="minorHAnsi" w:eastAsiaTheme="minorEastAsia" w:hAnsiTheme="minorHAnsi" w:cstheme="minorBidi"/>
              <w:noProof/>
              <w:sz w:val="24"/>
              <w:lang w:val="cs-CZ" w:eastAsia="ja-JP"/>
            </w:rPr>
          </w:pPr>
          <w:r w:rsidRPr="0016572F">
            <w:rPr>
              <w:i/>
              <w:noProof/>
            </w:rPr>
            <w:t>6.2.4.</w:t>
          </w:r>
          <w:r>
            <w:rPr>
              <w:rFonts w:asciiTheme="minorHAnsi" w:eastAsiaTheme="minorEastAsia" w:hAnsiTheme="minorHAnsi" w:cstheme="minorBidi"/>
              <w:noProof/>
              <w:sz w:val="24"/>
              <w:lang w:val="cs-CZ" w:eastAsia="ja-JP"/>
            </w:rPr>
            <w:tab/>
          </w:r>
          <w:r w:rsidRPr="0016572F">
            <w:rPr>
              <w:i/>
              <w:noProof/>
            </w:rPr>
            <w:t>Podmínky sdílení 4G sítí v České republice</w:t>
          </w:r>
          <w:r>
            <w:rPr>
              <w:noProof/>
            </w:rPr>
            <w:tab/>
          </w:r>
          <w:r>
            <w:rPr>
              <w:noProof/>
            </w:rPr>
            <w:fldChar w:fldCharType="begin"/>
          </w:r>
          <w:r>
            <w:rPr>
              <w:noProof/>
            </w:rPr>
            <w:instrText xml:space="preserve"> PAGEREF _Toc301423692 \h </w:instrText>
          </w:r>
          <w:r>
            <w:rPr>
              <w:noProof/>
            </w:rPr>
          </w:r>
          <w:r>
            <w:rPr>
              <w:noProof/>
            </w:rPr>
            <w:fldChar w:fldCharType="separate"/>
          </w:r>
          <w:r w:rsidR="00DF4E36">
            <w:rPr>
              <w:noProof/>
            </w:rPr>
            <w:t>43</w:t>
          </w:r>
          <w:r>
            <w:rPr>
              <w:noProof/>
            </w:rPr>
            <w:fldChar w:fldCharType="end"/>
          </w:r>
        </w:p>
        <w:p w14:paraId="67BCF9E3" w14:textId="77777777" w:rsidR="00C95099" w:rsidRDefault="00C95099">
          <w:pPr>
            <w:pStyle w:val="Obsah2"/>
            <w:tabs>
              <w:tab w:val="left" w:pos="740"/>
            </w:tabs>
            <w:rPr>
              <w:rFonts w:asciiTheme="minorHAnsi" w:eastAsiaTheme="minorEastAsia" w:hAnsiTheme="minorHAnsi" w:cstheme="minorBidi"/>
              <w:noProof/>
              <w:sz w:val="24"/>
              <w:lang w:val="cs-CZ" w:eastAsia="ja-JP"/>
            </w:rPr>
          </w:pPr>
          <w:r w:rsidRPr="0016572F">
            <w:rPr>
              <w:i/>
              <w:noProof/>
            </w:rPr>
            <w:t>6.2.5.</w:t>
          </w:r>
          <w:r>
            <w:rPr>
              <w:rFonts w:asciiTheme="minorHAnsi" w:eastAsiaTheme="minorEastAsia" w:hAnsiTheme="minorHAnsi" w:cstheme="minorBidi"/>
              <w:noProof/>
              <w:sz w:val="24"/>
              <w:lang w:val="cs-CZ" w:eastAsia="ja-JP"/>
            </w:rPr>
            <w:tab/>
          </w:r>
          <w:r w:rsidRPr="0016572F">
            <w:rPr>
              <w:i/>
              <w:noProof/>
            </w:rPr>
            <w:t>Vyhodnocení dopadů 4G sdílení sítí v České republice</w:t>
          </w:r>
          <w:r>
            <w:rPr>
              <w:noProof/>
            </w:rPr>
            <w:tab/>
          </w:r>
          <w:r>
            <w:rPr>
              <w:noProof/>
            </w:rPr>
            <w:fldChar w:fldCharType="begin"/>
          </w:r>
          <w:r>
            <w:rPr>
              <w:noProof/>
            </w:rPr>
            <w:instrText xml:space="preserve"> PAGEREF _Toc301423693 \h </w:instrText>
          </w:r>
          <w:r>
            <w:rPr>
              <w:noProof/>
            </w:rPr>
          </w:r>
          <w:r>
            <w:rPr>
              <w:noProof/>
            </w:rPr>
            <w:fldChar w:fldCharType="separate"/>
          </w:r>
          <w:r w:rsidR="00DF4E36">
            <w:rPr>
              <w:noProof/>
            </w:rPr>
            <w:t>43</w:t>
          </w:r>
          <w:r>
            <w:rPr>
              <w:noProof/>
            </w:rPr>
            <w:fldChar w:fldCharType="end"/>
          </w:r>
        </w:p>
        <w:p w14:paraId="57CB6237" w14:textId="77777777" w:rsidR="00C95099" w:rsidRDefault="00C95099">
          <w:pPr>
            <w:pStyle w:val="Obsah2"/>
            <w:tabs>
              <w:tab w:val="left" w:pos="574"/>
            </w:tabs>
            <w:rPr>
              <w:rFonts w:asciiTheme="minorHAnsi" w:eastAsiaTheme="minorEastAsia" w:hAnsiTheme="minorHAnsi" w:cstheme="minorBidi"/>
              <w:noProof/>
              <w:sz w:val="24"/>
              <w:lang w:val="cs-CZ" w:eastAsia="ja-JP"/>
            </w:rPr>
          </w:pPr>
          <w:r>
            <w:rPr>
              <w:noProof/>
            </w:rPr>
            <w:t>6.3.</w:t>
          </w:r>
          <w:r>
            <w:rPr>
              <w:rFonts w:asciiTheme="minorHAnsi" w:eastAsiaTheme="minorEastAsia" w:hAnsiTheme="minorHAnsi" w:cstheme="minorBidi"/>
              <w:noProof/>
              <w:sz w:val="24"/>
              <w:lang w:val="cs-CZ" w:eastAsia="ja-JP"/>
            </w:rPr>
            <w:tab/>
          </w:r>
          <w:r>
            <w:rPr>
              <w:noProof/>
            </w:rPr>
            <w:t>Vyrovnané náklady na velkoobchodním trhu, které ovlivňují ceny na maloobchodním trhu</w:t>
          </w:r>
          <w:r>
            <w:rPr>
              <w:noProof/>
            </w:rPr>
            <w:tab/>
          </w:r>
          <w:r>
            <w:rPr>
              <w:noProof/>
            </w:rPr>
            <w:fldChar w:fldCharType="begin"/>
          </w:r>
          <w:r>
            <w:rPr>
              <w:noProof/>
            </w:rPr>
            <w:instrText xml:space="preserve"> PAGEREF _Toc301423694 \h </w:instrText>
          </w:r>
          <w:r>
            <w:rPr>
              <w:noProof/>
            </w:rPr>
          </w:r>
          <w:r>
            <w:rPr>
              <w:noProof/>
            </w:rPr>
            <w:fldChar w:fldCharType="separate"/>
          </w:r>
          <w:r w:rsidR="00DF4E36">
            <w:rPr>
              <w:noProof/>
            </w:rPr>
            <w:t>43</w:t>
          </w:r>
          <w:r>
            <w:rPr>
              <w:noProof/>
            </w:rPr>
            <w:fldChar w:fldCharType="end"/>
          </w:r>
        </w:p>
        <w:p w14:paraId="3083AF46" w14:textId="77777777" w:rsidR="00C95099" w:rsidRDefault="00C95099">
          <w:pPr>
            <w:pStyle w:val="Obsah2"/>
            <w:tabs>
              <w:tab w:val="left" w:pos="740"/>
            </w:tabs>
            <w:rPr>
              <w:rFonts w:asciiTheme="minorHAnsi" w:eastAsiaTheme="minorEastAsia" w:hAnsiTheme="minorHAnsi" w:cstheme="minorBidi"/>
              <w:noProof/>
              <w:sz w:val="24"/>
              <w:lang w:val="cs-CZ" w:eastAsia="ja-JP"/>
            </w:rPr>
          </w:pPr>
          <w:r w:rsidRPr="0016572F">
            <w:rPr>
              <w:i/>
              <w:noProof/>
            </w:rPr>
            <w:t>6.3.1.</w:t>
          </w:r>
          <w:r>
            <w:rPr>
              <w:rFonts w:asciiTheme="minorHAnsi" w:eastAsiaTheme="minorEastAsia" w:hAnsiTheme="minorHAnsi" w:cstheme="minorBidi"/>
              <w:noProof/>
              <w:sz w:val="24"/>
              <w:lang w:val="cs-CZ" w:eastAsia="ja-JP"/>
            </w:rPr>
            <w:tab/>
          </w:r>
          <w:r w:rsidRPr="0016572F">
            <w:rPr>
              <w:i/>
              <w:noProof/>
            </w:rPr>
            <w:t>Rozhodovací praxe v EU</w:t>
          </w:r>
          <w:r>
            <w:rPr>
              <w:noProof/>
            </w:rPr>
            <w:tab/>
          </w:r>
          <w:r>
            <w:rPr>
              <w:noProof/>
            </w:rPr>
            <w:fldChar w:fldCharType="begin"/>
          </w:r>
          <w:r>
            <w:rPr>
              <w:noProof/>
            </w:rPr>
            <w:instrText xml:space="preserve"> PAGEREF _Toc301423695 \h </w:instrText>
          </w:r>
          <w:r>
            <w:rPr>
              <w:noProof/>
            </w:rPr>
          </w:r>
          <w:r>
            <w:rPr>
              <w:noProof/>
            </w:rPr>
            <w:fldChar w:fldCharType="separate"/>
          </w:r>
          <w:r w:rsidR="00DF4E36">
            <w:rPr>
              <w:noProof/>
            </w:rPr>
            <w:t>43</w:t>
          </w:r>
          <w:r>
            <w:rPr>
              <w:noProof/>
            </w:rPr>
            <w:fldChar w:fldCharType="end"/>
          </w:r>
        </w:p>
        <w:p w14:paraId="46E7DB5C" w14:textId="77777777" w:rsidR="00C95099" w:rsidRDefault="00C95099">
          <w:pPr>
            <w:pStyle w:val="Obsah2"/>
            <w:tabs>
              <w:tab w:val="left" w:pos="740"/>
            </w:tabs>
            <w:rPr>
              <w:rFonts w:asciiTheme="minorHAnsi" w:eastAsiaTheme="minorEastAsia" w:hAnsiTheme="minorHAnsi" w:cstheme="minorBidi"/>
              <w:noProof/>
              <w:sz w:val="24"/>
              <w:lang w:val="cs-CZ" w:eastAsia="ja-JP"/>
            </w:rPr>
          </w:pPr>
          <w:r w:rsidRPr="0016572F">
            <w:rPr>
              <w:i/>
              <w:noProof/>
            </w:rPr>
            <w:t>6.3.2.</w:t>
          </w:r>
          <w:r>
            <w:rPr>
              <w:rFonts w:asciiTheme="minorHAnsi" w:eastAsiaTheme="minorEastAsia" w:hAnsiTheme="minorHAnsi" w:cstheme="minorBidi"/>
              <w:noProof/>
              <w:sz w:val="24"/>
              <w:lang w:val="cs-CZ" w:eastAsia="ja-JP"/>
            </w:rPr>
            <w:tab/>
          </w:r>
          <w:r w:rsidRPr="0016572F">
            <w:rPr>
              <w:i/>
              <w:noProof/>
            </w:rPr>
            <w:t>Podmínky sdílení sítí 2G a 3G v České republice</w:t>
          </w:r>
          <w:r>
            <w:rPr>
              <w:noProof/>
            </w:rPr>
            <w:tab/>
          </w:r>
          <w:r>
            <w:rPr>
              <w:noProof/>
            </w:rPr>
            <w:fldChar w:fldCharType="begin"/>
          </w:r>
          <w:r>
            <w:rPr>
              <w:noProof/>
            </w:rPr>
            <w:instrText xml:space="preserve"> PAGEREF _Toc301423696 \h </w:instrText>
          </w:r>
          <w:r>
            <w:rPr>
              <w:noProof/>
            </w:rPr>
          </w:r>
          <w:r>
            <w:rPr>
              <w:noProof/>
            </w:rPr>
            <w:fldChar w:fldCharType="separate"/>
          </w:r>
          <w:r w:rsidR="00DF4E36">
            <w:rPr>
              <w:noProof/>
            </w:rPr>
            <w:t>44</w:t>
          </w:r>
          <w:r>
            <w:rPr>
              <w:noProof/>
            </w:rPr>
            <w:fldChar w:fldCharType="end"/>
          </w:r>
        </w:p>
        <w:p w14:paraId="47D72479" w14:textId="77777777" w:rsidR="00C95099" w:rsidRDefault="00C95099">
          <w:pPr>
            <w:pStyle w:val="Obsah2"/>
            <w:tabs>
              <w:tab w:val="left" w:pos="740"/>
            </w:tabs>
            <w:rPr>
              <w:rFonts w:asciiTheme="minorHAnsi" w:eastAsiaTheme="minorEastAsia" w:hAnsiTheme="minorHAnsi" w:cstheme="minorBidi"/>
              <w:noProof/>
              <w:sz w:val="24"/>
              <w:lang w:val="cs-CZ" w:eastAsia="ja-JP"/>
            </w:rPr>
          </w:pPr>
          <w:r w:rsidRPr="0016572F">
            <w:rPr>
              <w:i/>
              <w:noProof/>
            </w:rPr>
            <w:t>6.3.3.</w:t>
          </w:r>
          <w:r>
            <w:rPr>
              <w:rFonts w:asciiTheme="minorHAnsi" w:eastAsiaTheme="minorEastAsia" w:hAnsiTheme="minorHAnsi" w:cstheme="minorBidi"/>
              <w:noProof/>
              <w:sz w:val="24"/>
              <w:lang w:val="cs-CZ" w:eastAsia="ja-JP"/>
            </w:rPr>
            <w:tab/>
          </w:r>
          <w:r w:rsidRPr="0016572F">
            <w:rPr>
              <w:i/>
              <w:noProof/>
            </w:rPr>
            <w:t>Podmínky sdílení 4G sítí v České republice</w:t>
          </w:r>
          <w:r>
            <w:rPr>
              <w:noProof/>
            </w:rPr>
            <w:tab/>
          </w:r>
          <w:r>
            <w:rPr>
              <w:noProof/>
            </w:rPr>
            <w:fldChar w:fldCharType="begin"/>
          </w:r>
          <w:r>
            <w:rPr>
              <w:noProof/>
            </w:rPr>
            <w:instrText xml:space="preserve"> PAGEREF _Toc301423697 \h </w:instrText>
          </w:r>
          <w:r>
            <w:rPr>
              <w:noProof/>
            </w:rPr>
          </w:r>
          <w:r>
            <w:rPr>
              <w:noProof/>
            </w:rPr>
            <w:fldChar w:fldCharType="separate"/>
          </w:r>
          <w:r w:rsidR="00DF4E36">
            <w:rPr>
              <w:noProof/>
            </w:rPr>
            <w:t>44</w:t>
          </w:r>
          <w:r>
            <w:rPr>
              <w:noProof/>
            </w:rPr>
            <w:fldChar w:fldCharType="end"/>
          </w:r>
        </w:p>
        <w:p w14:paraId="239F1DCF" w14:textId="77777777" w:rsidR="00C95099" w:rsidRDefault="00C95099">
          <w:pPr>
            <w:pStyle w:val="Obsah2"/>
            <w:tabs>
              <w:tab w:val="left" w:pos="740"/>
            </w:tabs>
            <w:rPr>
              <w:rFonts w:asciiTheme="minorHAnsi" w:eastAsiaTheme="minorEastAsia" w:hAnsiTheme="minorHAnsi" w:cstheme="minorBidi"/>
              <w:noProof/>
              <w:sz w:val="24"/>
              <w:lang w:val="cs-CZ" w:eastAsia="ja-JP"/>
            </w:rPr>
          </w:pPr>
          <w:r w:rsidRPr="0016572F">
            <w:rPr>
              <w:i/>
              <w:noProof/>
            </w:rPr>
            <w:t>6.3.4.</w:t>
          </w:r>
          <w:r>
            <w:rPr>
              <w:rFonts w:asciiTheme="minorHAnsi" w:eastAsiaTheme="minorEastAsia" w:hAnsiTheme="minorHAnsi" w:cstheme="minorBidi"/>
              <w:noProof/>
              <w:sz w:val="24"/>
              <w:lang w:val="cs-CZ" w:eastAsia="ja-JP"/>
            </w:rPr>
            <w:tab/>
          </w:r>
          <w:r w:rsidRPr="0016572F">
            <w:rPr>
              <w:i/>
              <w:noProof/>
            </w:rPr>
            <w:t>Ekonomické vyhodnocení dopadů sdílení sítí v České republice</w:t>
          </w:r>
          <w:r>
            <w:rPr>
              <w:noProof/>
            </w:rPr>
            <w:tab/>
          </w:r>
          <w:r>
            <w:rPr>
              <w:noProof/>
            </w:rPr>
            <w:fldChar w:fldCharType="begin"/>
          </w:r>
          <w:r>
            <w:rPr>
              <w:noProof/>
            </w:rPr>
            <w:instrText xml:space="preserve"> PAGEREF _Toc301423698 \h </w:instrText>
          </w:r>
          <w:r>
            <w:rPr>
              <w:noProof/>
            </w:rPr>
          </w:r>
          <w:r>
            <w:rPr>
              <w:noProof/>
            </w:rPr>
            <w:fldChar w:fldCharType="separate"/>
          </w:r>
          <w:r w:rsidR="00DF4E36">
            <w:rPr>
              <w:noProof/>
            </w:rPr>
            <w:t>44</w:t>
          </w:r>
          <w:r>
            <w:rPr>
              <w:noProof/>
            </w:rPr>
            <w:fldChar w:fldCharType="end"/>
          </w:r>
        </w:p>
        <w:p w14:paraId="2A475E99" w14:textId="77777777" w:rsidR="00C95099" w:rsidRDefault="00C95099">
          <w:pPr>
            <w:pStyle w:val="Obsah2"/>
            <w:tabs>
              <w:tab w:val="left" w:pos="574"/>
            </w:tabs>
            <w:rPr>
              <w:rFonts w:asciiTheme="minorHAnsi" w:eastAsiaTheme="minorEastAsia" w:hAnsiTheme="minorHAnsi" w:cstheme="minorBidi"/>
              <w:noProof/>
              <w:sz w:val="24"/>
              <w:lang w:val="cs-CZ" w:eastAsia="ja-JP"/>
            </w:rPr>
          </w:pPr>
          <w:r>
            <w:rPr>
              <w:noProof/>
            </w:rPr>
            <w:t>6.4.</w:t>
          </w:r>
          <w:r>
            <w:rPr>
              <w:rFonts w:asciiTheme="minorHAnsi" w:eastAsiaTheme="minorEastAsia" w:hAnsiTheme="minorHAnsi" w:cstheme="minorBidi"/>
              <w:noProof/>
              <w:sz w:val="24"/>
              <w:lang w:val="cs-CZ" w:eastAsia="ja-JP"/>
            </w:rPr>
            <w:tab/>
          </w:r>
          <w:r>
            <w:rPr>
              <w:noProof/>
            </w:rPr>
            <w:t>Vliv na soutěž na velkoobchodním trhu</w:t>
          </w:r>
          <w:r>
            <w:rPr>
              <w:noProof/>
            </w:rPr>
            <w:tab/>
          </w:r>
          <w:r>
            <w:rPr>
              <w:noProof/>
            </w:rPr>
            <w:fldChar w:fldCharType="begin"/>
          </w:r>
          <w:r>
            <w:rPr>
              <w:noProof/>
            </w:rPr>
            <w:instrText xml:space="preserve"> PAGEREF _Toc301423699 \h </w:instrText>
          </w:r>
          <w:r>
            <w:rPr>
              <w:noProof/>
            </w:rPr>
          </w:r>
          <w:r>
            <w:rPr>
              <w:noProof/>
            </w:rPr>
            <w:fldChar w:fldCharType="separate"/>
          </w:r>
          <w:r w:rsidR="00DF4E36">
            <w:rPr>
              <w:noProof/>
            </w:rPr>
            <w:t>44</w:t>
          </w:r>
          <w:r>
            <w:rPr>
              <w:noProof/>
            </w:rPr>
            <w:fldChar w:fldCharType="end"/>
          </w:r>
        </w:p>
        <w:p w14:paraId="0F04E99A" w14:textId="77777777" w:rsidR="00C95099" w:rsidRDefault="00C95099">
          <w:pPr>
            <w:pStyle w:val="Obsah2"/>
            <w:tabs>
              <w:tab w:val="left" w:pos="740"/>
            </w:tabs>
            <w:rPr>
              <w:rFonts w:asciiTheme="minorHAnsi" w:eastAsiaTheme="minorEastAsia" w:hAnsiTheme="minorHAnsi" w:cstheme="minorBidi"/>
              <w:noProof/>
              <w:sz w:val="24"/>
              <w:lang w:val="cs-CZ" w:eastAsia="ja-JP"/>
            </w:rPr>
          </w:pPr>
          <w:r w:rsidRPr="0016572F">
            <w:rPr>
              <w:i/>
              <w:noProof/>
            </w:rPr>
            <w:t>6.4.1.</w:t>
          </w:r>
          <w:r>
            <w:rPr>
              <w:rFonts w:asciiTheme="minorHAnsi" w:eastAsiaTheme="minorEastAsia" w:hAnsiTheme="minorHAnsi" w:cstheme="minorBidi"/>
              <w:noProof/>
              <w:sz w:val="24"/>
              <w:lang w:val="cs-CZ" w:eastAsia="ja-JP"/>
            </w:rPr>
            <w:tab/>
          </w:r>
          <w:r w:rsidRPr="0016572F">
            <w:rPr>
              <w:i/>
              <w:noProof/>
            </w:rPr>
            <w:t>Podmínky sdílení sítí 2G a 3G v České republice</w:t>
          </w:r>
          <w:r>
            <w:rPr>
              <w:noProof/>
            </w:rPr>
            <w:tab/>
          </w:r>
          <w:r>
            <w:rPr>
              <w:noProof/>
            </w:rPr>
            <w:fldChar w:fldCharType="begin"/>
          </w:r>
          <w:r>
            <w:rPr>
              <w:noProof/>
            </w:rPr>
            <w:instrText xml:space="preserve"> PAGEREF _Toc301423700 \h </w:instrText>
          </w:r>
          <w:r>
            <w:rPr>
              <w:noProof/>
            </w:rPr>
          </w:r>
          <w:r>
            <w:rPr>
              <w:noProof/>
            </w:rPr>
            <w:fldChar w:fldCharType="separate"/>
          </w:r>
          <w:r w:rsidR="00DF4E36">
            <w:rPr>
              <w:noProof/>
            </w:rPr>
            <w:t>44</w:t>
          </w:r>
          <w:r>
            <w:rPr>
              <w:noProof/>
            </w:rPr>
            <w:fldChar w:fldCharType="end"/>
          </w:r>
        </w:p>
        <w:p w14:paraId="4A828080" w14:textId="77777777" w:rsidR="00C95099" w:rsidRDefault="00C95099">
          <w:pPr>
            <w:pStyle w:val="Obsah2"/>
            <w:tabs>
              <w:tab w:val="left" w:pos="740"/>
            </w:tabs>
            <w:rPr>
              <w:rFonts w:asciiTheme="minorHAnsi" w:eastAsiaTheme="minorEastAsia" w:hAnsiTheme="minorHAnsi" w:cstheme="minorBidi"/>
              <w:noProof/>
              <w:sz w:val="24"/>
              <w:lang w:val="cs-CZ" w:eastAsia="ja-JP"/>
            </w:rPr>
          </w:pPr>
          <w:r w:rsidRPr="0016572F">
            <w:rPr>
              <w:i/>
              <w:noProof/>
            </w:rPr>
            <w:t>6.4.2.</w:t>
          </w:r>
          <w:r>
            <w:rPr>
              <w:rFonts w:asciiTheme="minorHAnsi" w:eastAsiaTheme="minorEastAsia" w:hAnsiTheme="minorHAnsi" w:cstheme="minorBidi"/>
              <w:noProof/>
              <w:sz w:val="24"/>
              <w:lang w:val="cs-CZ" w:eastAsia="ja-JP"/>
            </w:rPr>
            <w:tab/>
          </w:r>
          <w:r w:rsidRPr="0016572F">
            <w:rPr>
              <w:i/>
              <w:noProof/>
            </w:rPr>
            <w:t>Podmínky sdílení sítí 4G v České republice</w:t>
          </w:r>
          <w:r>
            <w:rPr>
              <w:noProof/>
            </w:rPr>
            <w:tab/>
          </w:r>
          <w:r>
            <w:rPr>
              <w:noProof/>
            </w:rPr>
            <w:fldChar w:fldCharType="begin"/>
          </w:r>
          <w:r>
            <w:rPr>
              <w:noProof/>
            </w:rPr>
            <w:instrText xml:space="preserve"> PAGEREF _Toc301423701 \h </w:instrText>
          </w:r>
          <w:r>
            <w:rPr>
              <w:noProof/>
            </w:rPr>
          </w:r>
          <w:r>
            <w:rPr>
              <w:noProof/>
            </w:rPr>
            <w:fldChar w:fldCharType="separate"/>
          </w:r>
          <w:r w:rsidR="00DF4E36">
            <w:rPr>
              <w:noProof/>
            </w:rPr>
            <w:t>44</w:t>
          </w:r>
          <w:r>
            <w:rPr>
              <w:noProof/>
            </w:rPr>
            <w:fldChar w:fldCharType="end"/>
          </w:r>
        </w:p>
        <w:p w14:paraId="0B889A40" w14:textId="77777777" w:rsidR="00C95099" w:rsidRDefault="00C95099">
          <w:pPr>
            <w:pStyle w:val="Obsah2"/>
            <w:tabs>
              <w:tab w:val="left" w:pos="740"/>
            </w:tabs>
            <w:rPr>
              <w:rFonts w:asciiTheme="minorHAnsi" w:eastAsiaTheme="minorEastAsia" w:hAnsiTheme="minorHAnsi" w:cstheme="minorBidi"/>
              <w:noProof/>
              <w:sz w:val="24"/>
              <w:lang w:val="cs-CZ" w:eastAsia="ja-JP"/>
            </w:rPr>
          </w:pPr>
          <w:r w:rsidRPr="0016572F">
            <w:rPr>
              <w:i/>
              <w:noProof/>
            </w:rPr>
            <w:t>6.4.3.</w:t>
          </w:r>
          <w:r>
            <w:rPr>
              <w:rFonts w:asciiTheme="minorHAnsi" w:eastAsiaTheme="minorEastAsia" w:hAnsiTheme="minorHAnsi" w:cstheme="minorBidi"/>
              <w:noProof/>
              <w:sz w:val="24"/>
              <w:lang w:val="cs-CZ" w:eastAsia="ja-JP"/>
            </w:rPr>
            <w:tab/>
          </w:r>
          <w:r w:rsidRPr="0016572F">
            <w:rPr>
              <w:i/>
              <w:noProof/>
            </w:rPr>
            <w:t>Vyhodnocení dopadů sdílení sítí na velkoobchodní trh v České republice</w:t>
          </w:r>
          <w:r>
            <w:rPr>
              <w:noProof/>
            </w:rPr>
            <w:tab/>
          </w:r>
          <w:r>
            <w:rPr>
              <w:noProof/>
            </w:rPr>
            <w:fldChar w:fldCharType="begin"/>
          </w:r>
          <w:r>
            <w:rPr>
              <w:noProof/>
            </w:rPr>
            <w:instrText xml:space="preserve"> PAGEREF _Toc301423702 \h </w:instrText>
          </w:r>
          <w:r>
            <w:rPr>
              <w:noProof/>
            </w:rPr>
          </w:r>
          <w:r>
            <w:rPr>
              <w:noProof/>
            </w:rPr>
            <w:fldChar w:fldCharType="separate"/>
          </w:r>
          <w:r w:rsidR="00DF4E36">
            <w:rPr>
              <w:noProof/>
            </w:rPr>
            <w:t>45</w:t>
          </w:r>
          <w:r>
            <w:rPr>
              <w:noProof/>
            </w:rPr>
            <w:fldChar w:fldCharType="end"/>
          </w:r>
        </w:p>
        <w:p w14:paraId="1292445F" w14:textId="77777777" w:rsidR="00C95099" w:rsidRDefault="00C95099">
          <w:pPr>
            <w:pStyle w:val="Obsah2"/>
            <w:tabs>
              <w:tab w:val="left" w:pos="574"/>
            </w:tabs>
            <w:rPr>
              <w:rFonts w:asciiTheme="minorHAnsi" w:eastAsiaTheme="minorEastAsia" w:hAnsiTheme="minorHAnsi" w:cstheme="minorBidi"/>
              <w:noProof/>
              <w:sz w:val="24"/>
              <w:lang w:val="cs-CZ" w:eastAsia="ja-JP"/>
            </w:rPr>
          </w:pPr>
          <w:r>
            <w:rPr>
              <w:noProof/>
            </w:rPr>
            <w:t>6.5.</w:t>
          </w:r>
          <w:r>
            <w:rPr>
              <w:rFonts w:asciiTheme="minorHAnsi" w:eastAsiaTheme="minorEastAsia" w:hAnsiTheme="minorHAnsi" w:cstheme="minorBidi"/>
              <w:noProof/>
              <w:sz w:val="24"/>
              <w:lang w:val="cs-CZ" w:eastAsia="ja-JP"/>
            </w:rPr>
            <w:tab/>
          </w:r>
          <w:r>
            <w:rPr>
              <w:noProof/>
            </w:rPr>
            <w:t>Úspora nákladů a dopad na hospodářskou soutěž</w:t>
          </w:r>
          <w:r>
            <w:rPr>
              <w:noProof/>
            </w:rPr>
            <w:tab/>
          </w:r>
          <w:r>
            <w:rPr>
              <w:noProof/>
            </w:rPr>
            <w:fldChar w:fldCharType="begin"/>
          </w:r>
          <w:r>
            <w:rPr>
              <w:noProof/>
            </w:rPr>
            <w:instrText xml:space="preserve"> PAGEREF _Toc301423703 \h </w:instrText>
          </w:r>
          <w:r>
            <w:rPr>
              <w:noProof/>
            </w:rPr>
          </w:r>
          <w:r>
            <w:rPr>
              <w:noProof/>
            </w:rPr>
            <w:fldChar w:fldCharType="separate"/>
          </w:r>
          <w:r w:rsidR="00DF4E36">
            <w:rPr>
              <w:noProof/>
            </w:rPr>
            <w:t>45</w:t>
          </w:r>
          <w:r>
            <w:rPr>
              <w:noProof/>
            </w:rPr>
            <w:fldChar w:fldCharType="end"/>
          </w:r>
        </w:p>
        <w:p w14:paraId="1055B00E" w14:textId="77777777" w:rsidR="00C95099" w:rsidRDefault="00C95099">
          <w:pPr>
            <w:pStyle w:val="Obsah2"/>
            <w:tabs>
              <w:tab w:val="left" w:pos="740"/>
            </w:tabs>
            <w:rPr>
              <w:rFonts w:asciiTheme="minorHAnsi" w:eastAsiaTheme="minorEastAsia" w:hAnsiTheme="minorHAnsi" w:cstheme="minorBidi"/>
              <w:noProof/>
              <w:sz w:val="24"/>
              <w:lang w:val="cs-CZ" w:eastAsia="ja-JP"/>
            </w:rPr>
          </w:pPr>
          <w:r w:rsidRPr="0016572F">
            <w:rPr>
              <w:i/>
              <w:noProof/>
            </w:rPr>
            <w:t>6.5.1.</w:t>
          </w:r>
          <w:r>
            <w:rPr>
              <w:rFonts w:asciiTheme="minorHAnsi" w:eastAsiaTheme="minorEastAsia" w:hAnsiTheme="minorHAnsi" w:cstheme="minorBidi"/>
              <w:noProof/>
              <w:sz w:val="24"/>
              <w:lang w:val="cs-CZ" w:eastAsia="ja-JP"/>
            </w:rPr>
            <w:tab/>
          </w:r>
          <w:r w:rsidRPr="0016572F">
            <w:rPr>
              <w:i/>
              <w:noProof/>
            </w:rPr>
            <w:t>Podmínky sdílení sítí 2G a 3G v České republice</w:t>
          </w:r>
          <w:r>
            <w:rPr>
              <w:noProof/>
            </w:rPr>
            <w:tab/>
          </w:r>
          <w:r>
            <w:rPr>
              <w:noProof/>
            </w:rPr>
            <w:fldChar w:fldCharType="begin"/>
          </w:r>
          <w:r>
            <w:rPr>
              <w:noProof/>
            </w:rPr>
            <w:instrText xml:space="preserve"> PAGEREF _Toc301423704 \h </w:instrText>
          </w:r>
          <w:r>
            <w:rPr>
              <w:noProof/>
            </w:rPr>
          </w:r>
          <w:r>
            <w:rPr>
              <w:noProof/>
            </w:rPr>
            <w:fldChar w:fldCharType="separate"/>
          </w:r>
          <w:r w:rsidR="00DF4E36">
            <w:rPr>
              <w:noProof/>
            </w:rPr>
            <w:t>45</w:t>
          </w:r>
          <w:r>
            <w:rPr>
              <w:noProof/>
            </w:rPr>
            <w:fldChar w:fldCharType="end"/>
          </w:r>
        </w:p>
        <w:p w14:paraId="424FBDC3" w14:textId="77777777" w:rsidR="00C95099" w:rsidRDefault="00C95099">
          <w:pPr>
            <w:pStyle w:val="Obsah2"/>
            <w:tabs>
              <w:tab w:val="left" w:pos="740"/>
            </w:tabs>
            <w:rPr>
              <w:rFonts w:asciiTheme="minorHAnsi" w:eastAsiaTheme="minorEastAsia" w:hAnsiTheme="minorHAnsi" w:cstheme="minorBidi"/>
              <w:noProof/>
              <w:sz w:val="24"/>
              <w:lang w:val="cs-CZ" w:eastAsia="ja-JP"/>
            </w:rPr>
          </w:pPr>
          <w:r w:rsidRPr="0016572F">
            <w:rPr>
              <w:i/>
              <w:noProof/>
            </w:rPr>
            <w:t>6.5.2.</w:t>
          </w:r>
          <w:r>
            <w:rPr>
              <w:rFonts w:asciiTheme="minorHAnsi" w:eastAsiaTheme="minorEastAsia" w:hAnsiTheme="minorHAnsi" w:cstheme="minorBidi"/>
              <w:noProof/>
              <w:sz w:val="24"/>
              <w:lang w:val="cs-CZ" w:eastAsia="ja-JP"/>
            </w:rPr>
            <w:tab/>
          </w:r>
          <w:r w:rsidRPr="0016572F">
            <w:rPr>
              <w:i/>
              <w:noProof/>
            </w:rPr>
            <w:t>Podmínky sdílení sítí 4G v České republice</w:t>
          </w:r>
          <w:r>
            <w:rPr>
              <w:noProof/>
            </w:rPr>
            <w:tab/>
          </w:r>
          <w:r>
            <w:rPr>
              <w:noProof/>
            </w:rPr>
            <w:fldChar w:fldCharType="begin"/>
          </w:r>
          <w:r>
            <w:rPr>
              <w:noProof/>
            </w:rPr>
            <w:instrText xml:space="preserve"> PAGEREF _Toc301423705 \h </w:instrText>
          </w:r>
          <w:r>
            <w:rPr>
              <w:noProof/>
            </w:rPr>
          </w:r>
          <w:r>
            <w:rPr>
              <w:noProof/>
            </w:rPr>
            <w:fldChar w:fldCharType="separate"/>
          </w:r>
          <w:r w:rsidR="00DF4E36">
            <w:rPr>
              <w:noProof/>
            </w:rPr>
            <w:t>45</w:t>
          </w:r>
          <w:r>
            <w:rPr>
              <w:noProof/>
            </w:rPr>
            <w:fldChar w:fldCharType="end"/>
          </w:r>
        </w:p>
        <w:p w14:paraId="082FAFEB" w14:textId="77777777" w:rsidR="00C95099" w:rsidRDefault="00C95099">
          <w:pPr>
            <w:pStyle w:val="Obsah2"/>
            <w:tabs>
              <w:tab w:val="left" w:pos="740"/>
            </w:tabs>
            <w:rPr>
              <w:rFonts w:asciiTheme="minorHAnsi" w:eastAsiaTheme="minorEastAsia" w:hAnsiTheme="minorHAnsi" w:cstheme="minorBidi"/>
              <w:noProof/>
              <w:sz w:val="24"/>
              <w:lang w:val="cs-CZ" w:eastAsia="ja-JP"/>
            </w:rPr>
          </w:pPr>
          <w:r w:rsidRPr="0016572F">
            <w:rPr>
              <w:i/>
              <w:noProof/>
            </w:rPr>
            <w:t>6.5.3.</w:t>
          </w:r>
          <w:r>
            <w:rPr>
              <w:rFonts w:asciiTheme="minorHAnsi" w:eastAsiaTheme="minorEastAsia" w:hAnsiTheme="minorHAnsi" w:cstheme="minorBidi"/>
              <w:noProof/>
              <w:sz w:val="24"/>
              <w:lang w:val="cs-CZ" w:eastAsia="ja-JP"/>
            </w:rPr>
            <w:tab/>
          </w:r>
          <w:r w:rsidRPr="0016572F">
            <w:rPr>
              <w:i/>
              <w:noProof/>
            </w:rPr>
            <w:t>Vyhodnocení dopadů úspory nákladů v důsledku sdílení sítí v České republice</w:t>
          </w:r>
          <w:r>
            <w:rPr>
              <w:noProof/>
            </w:rPr>
            <w:tab/>
          </w:r>
          <w:r>
            <w:rPr>
              <w:noProof/>
            </w:rPr>
            <w:fldChar w:fldCharType="begin"/>
          </w:r>
          <w:r>
            <w:rPr>
              <w:noProof/>
            </w:rPr>
            <w:instrText xml:space="preserve"> PAGEREF _Toc301423706 \h </w:instrText>
          </w:r>
          <w:r>
            <w:rPr>
              <w:noProof/>
            </w:rPr>
          </w:r>
          <w:r>
            <w:rPr>
              <w:noProof/>
            </w:rPr>
            <w:fldChar w:fldCharType="separate"/>
          </w:r>
          <w:r w:rsidR="00DF4E36">
            <w:rPr>
              <w:noProof/>
            </w:rPr>
            <w:t>45</w:t>
          </w:r>
          <w:r>
            <w:rPr>
              <w:noProof/>
            </w:rPr>
            <w:fldChar w:fldCharType="end"/>
          </w:r>
        </w:p>
        <w:p w14:paraId="287C8830" w14:textId="77777777" w:rsidR="00C95099" w:rsidRDefault="00C95099">
          <w:pPr>
            <w:pStyle w:val="Obsah1"/>
            <w:tabs>
              <w:tab w:val="left" w:pos="407"/>
            </w:tabs>
            <w:rPr>
              <w:rFonts w:asciiTheme="minorHAnsi" w:eastAsiaTheme="minorEastAsia" w:hAnsiTheme="minorHAnsi" w:cstheme="minorBidi"/>
              <w:noProof/>
              <w:sz w:val="24"/>
              <w:lang w:val="cs-CZ" w:eastAsia="ja-JP"/>
            </w:rPr>
          </w:pPr>
          <w:r w:rsidRPr="0016572F">
            <w:rPr>
              <w:noProof/>
              <w:lang w:val="cs-CZ"/>
            </w:rPr>
            <w:t>7.</w:t>
          </w:r>
          <w:r>
            <w:rPr>
              <w:rFonts w:asciiTheme="minorHAnsi" w:eastAsiaTheme="minorEastAsia" w:hAnsiTheme="minorHAnsi" w:cstheme="minorBidi"/>
              <w:noProof/>
              <w:sz w:val="24"/>
              <w:lang w:val="cs-CZ" w:eastAsia="ja-JP"/>
            </w:rPr>
            <w:tab/>
          </w:r>
          <w:r w:rsidRPr="0016572F">
            <w:rPr>
              <w:noProof/>
              <w:lang w:val="cs-CZ"/>
            </w:rPr>
            <w:t>Kompetence Úřadu ve vztahu ke sdílení sítí</w:t>
          </w:r>
          <w:r>
            <w:rPr>
              <w:noProof/>
            </w:rPr>
            <w:tab/>
          </w:r>
          <w:r>
            <w:rPr>
              <w:noProof/>
            </w:rPr>
            <w:fldChar w:fldCharType="begin"/>
          </w:r>
          <w:r>
            <w:rPr>
              <w:noProof/>
            </w:rPr>
            <w:instrText xml:space="preserve"> PAGEREF _Toc301423707 \h </w:instrText>
          </w:r>
          <w:r>
            <w:rPr>
              <w:noProof/>
            </w:rPr>
          </w:r>
          <w:r>
            <w:rPr>
              <w:noProof/>
            </w:rPr>
            <w:fldChar w:fldCharType="separate"/>
          </w:r>
          <w:r w:rsidR="00DF4E36">
            <w:rPr>
              <w:noProof/>
            </w:rPr>
            <w:t>49</w:t>
          </w:r>
          <w:r>
            <w:rPr>
              <w:noProof/>
            </w:rPr>
            <w:fldChar w:fldCharType="end"/>
          </w:r>
        </w:p>
        <w:p w14:paraId="4C816DA8" w14:textId="77777777" w:rsidR="00C95099" w:rsidRDefault="00C95099">
          <w:pPr>
            <w:pStyle w:val="Obsah2"/>
            <w:tabs>
              <w:tab w:val="left" w:pos="574"/>
            </w:tabs>
            <w:rPr>
              <w:rFonts w:asciiTheme="minorHAnsi" w:eastAsiaTheme="minorEastAsia" w:hAnsiTheme="minorHAnsi" w:cstheme="minorBidi"/>
              <w:noProof/>
              <w:sz w:val="24"/>
              <w:lang w:val="cs-CZ" w:eastAsia="ja-JP"/>
            </w:rPr>
          </w:pPr>
          <w:r>
            <w:rPr>
              <w:noProof/>
            </w:rPr>
            <w:t>7.1.</w:t>
          </w:r>
          <w:r>
            <w:rPr>
              <w:rFonts w:asciiTheme="minorHAnsi" w:eastAsiaTheme="minorEastAsia" w:hAnsiTheme="minorHAnsi" w:cstheme="minorBidi"/>
              <w:noProof/>
              <w:sz w:val="24"/>
              <w:lang w:val="cs-CZ" w:eastAsia="ja-JP"/>
            </w:rPr>
            <w:tab/>
          </w:r>
          <w:r>
            <w:rPr>
              <w:noProof/>
            </w:rPr>
            <w:t>Analýzy relevantních trhů</w:t>
          </w:r>
          <w:r>
            <w:rPr>
              <w:noProof/>
            </w:rPr>
            <w:tab/>
          </w:r>
          <w:r>
            <w:rPr>
              <w:noProof/>
            </w:rPr>
            <w:fldChar w:fldCharType="begin"/>
          </w:r>
          <w:r>
            <w:rPr>
              <w:noProof/>
            </w:rPr>
            <w:instrText xml:space="preserve"> PAGEREF _Toc301423708 \h </w:instrText>
          </w:r>
          <w:r>
            <w:rPr>
              <w:noProof/>
            </w:rPr>
          </w:r>
          <w:r>
            <w:rPr>
              <w:noProof/>
            </w:rPr>
            <w:fldChar w:fldCharType="separate"/>
          </w:r>
          <w:r w:rsidR="00DF4E36">
            <w:rPr>
              <w:noProof/>
            </w:rPr>
            <w:t>49</w:t>
          </w:r>
          <w:r>
            <w:rPr>
              <w:noProof/>
            </w:rPr>
            <w:fldChar w:fldCharType="end"/>
          </w:r>
        </w:p>
        <w:p w14:paraId="1C58A62B" w14:textId="77777777" w:rsidR="00C95099" w:rsidRDefault="00C95099">
          <w:pPr>
            <w:pStyle w:val="Obsah2"/>
            <w:tabs>
              <w:tab w:val="left" w:pos="740"/>
            </w:tabs>
            <w:rPr>
              <w:rFonts w:asciiTheme="minorHAnsi" w:eastAsiaTheme="minorEastAsia" w:hAnsiTheme="minorHAnsi" w:cstheme="minorBidi"/>
              <w:noProof/>
              <w:sz w:val="24"/>
              <w:lang w:val="cs-CZ" w:eastAsia="ja-JP"/>
            </w:rPr>
          </w:pPr>
          <w:r w:rsidRPr="0016572F">
            <w:rPr>
              <w:i/>
              <w:noProof/>
            </w:rPr>
            <w:t>7.1.1.</w:t>
          </w:r>
          <w:r>
            <w:rPr>
              <w:rFonts w:asciiTheme="minorHAnsi" w:eastAsiaTheme="minorEastAsia" w:hAnsiTheme="minorHAnsi" w:cstheme="minorBidi"/>
              <w:noProof/>
              <w:sz w:val="24"/>
              <w:lang w:val="cs-CZ" w:eastAsia="ja-JP"/>
            </w:rPr>
            <w:tab/>
          </w:r>
          <w:r w:rsidRPr="0016572F">
            <w:rPr>
              <w:i/>
              <w:noProof/>
            </w:rPr>
            <w:t>Kompetence dle Zákona</w:t>
          </w:r>
          <w:r>
            <w:rPr>
              <w:noProof/>
            </w:rPr>
            <w:tab/>
          </w:r>
          <w:r>
            <w:rPr>
              <w:noProof/>
            </w:rPr>
            <w:fldChar w:fldCharType="begin"/>
          </w:r>
          <w:r>
            <w:rPr>
              <w:noProof/>
            </w:rPr>
            <w:instrText xml:space="preserve"> PAGEREF _Toc301423709 \h </w:instrText>
          </w:r>
          <w:r>
            <w:rPr>
              <w:noProof/>
            </w:rPr>
          </w:r>
          <w:r>
            <w:rPr>
              <w:noProof/>
            </w:rPr>
            <w:fldChar w:fldCharType="separate"/>
          </w:r>
          <w:r w:rsidR="00DF4E36">
            <w:rPr>
              <w:noProof/>
            </w:rPr>
            <w:t>49</w:t>
          </w:r>
          <w:r>
            <w:rPr>
              <w:noProof/>
            </w:rPr>
            <w:fldChar w:fldCharType="end"/>
          </w:r>
        </w:p>
        <w:p w14:paraId="0FEB74D3" w14:textId="77777777" w:rsidR="00C95099" w:rsidRDefault="00C95099">
          <w:pPr>
            <w:pStyle w:val="Obsah2"/>
            <w:tabs>
              <w:tab w:val="left" w:pos="740"/>
            </w:tabs>
            <w:rPr>
              <w:rFonts w:asciiTheme="minorHAnsi" w:eastAsiaTheme="minorEastAsia" w:hAnsiTheme="minorHAnsi" w:cstheme="minorBidi"/>
              <w:noProof/>
              <w:sz w:val="24"/>
              <w:lang w:val="cs-CZ" w:eastAsia="ja-JP"/>
            </w:rPr>
          </w:pPr>
          <w:r w:rsidRPr="0016572F">
            <w:rPr>
              <w:i/>
              <w:noProof/>
            </w:rPr>
            <w:t>7.1.2.</w:t>
          </w:r>
          <w:r>
            <w:rPr>
              <w:rFonts w:asciiTheme="minorHAnsi" w:eastAsiaTheme="minorEastAsia" w:hAnsiTheme="minorHAnsi" w:cstheme="minorBidi"/>
              <w:noProof/>
              <w:sz w:val="24"/>
              <w:lang w:val="cs-CZ" w:eastAsia="ja-JP"/>
            </w:rPr>
            <w:tab/>
          </w:r>
          <w:r w:rsidRPr="0016572F">
            <w:rPr>
              <w:i/>
              <w:noProof/>
            </w:rPr>
            <w:t>Uplatnění</w:t>
          </w:r>
          <w:r>
            <w:rPr>
              <w:noProof/>
            </w:rPr>
            <w:tab/>
          </w:r>
          <w:r>
            <w:rPr>
              <w:noProof/>
            </w:rPr>
            <w:fldChar w:fldCharType="begin"/>
          </w:r>
          <w:r>
            <w:rPr>
              <w:noProof/>
            </w:rPr>
            <w:instrText xml:space="preserve"> PAGEREF _Toc301423710 \h </w:instrText>
          </w:r>
          <w:r>
            <w:rPr>
              <w:noProof/>
            </w:rPr>
          </w:r>
          <w:r>
            <w:rPr>
              <w:noProof/>
            </w:rPr>
            <w:fldChar w:fldCharType="separate"/>
          </w:r>
          <w:r w:rsidR="00DF4E36">
            <w:rPr>
              <w:noProof/>
            </w:rPr>
            <w:t>50</w:t>
          </w:r>
          <w:r>
            <w:rPr>
              <w:noProof/>
            </w:rPr>
            <w:fldChar w:fldCharType="end"/>
          </w:r>
        </w:p>
        <w:p w14:paraId="56ED74C7" w14:textId="77777777" w:rsidR="00C95099" w:rsidRDefault="00C95099">
          <w:pPr>
            <w:pStyle w:val="Obsah2"/>
            <w:tabs>
              <w:tab w:val="left" w:pos="574"/>
            </w:tabs>
            <w:rPr>
              <w:rFonts w:asciiTheme="minorHAnsi" w:eastAsiaTheme="minorEastAsia" w:hAnsiTheme="minorHAnsi" w:cstheme="minorBidi"/>
              <w:noProof/>
              <w:sz w:val="24"/>
              <w:lang w:val="cs-CZ" w:eastAsia="ja-JP"/>
            </w:rPr>
          </w:pPr>
          <w:r>
            <w:rPr>
              <w:noProof/>
            </w:rPr>
            <w:t>7.2.</w:t>
          </w:r>
          <w:r>
            <w:rPr>
              <w:rFonts w:asciiTheme="minorHAnsi" w:eastAsiaTheme="minorEastAsia" w:hAnsiTheme="minorHAnsi" w:cstheme="minorBidi"/>
              <w:noProof/>
              <w:sz w:val="24"/>
              <w:lang w:val="cs-CZ" w:eastAsia="ja-JP"/>
            </w:rPr>
            <w:tab/>
          </w:r>
          <w:r>
            <w:rPr>
              <w:noProof/>
            </w:rPr>
            <w:t>Příprava podmínek výběrových řízení za účelem udělení práv k využívání rádiových kmitočtů</w:t>
          </w:r>
          <w:r>
            <w:rPr>
              <w:noProof/>
            </w:rPr>
            <w:tab/>
          </w:r>
          <w:r>
            <w:rPr>
              <w:noProof/>
            </w:rPr>
            <w:fldChar w:fldCharType="begin"/>
          </w:r>
          <w:r>
            <w:rPr>
              <w:noProof/>
            </w:rPr>
            <w:instrText xml:space="preserve"> PAGEREF _Toc301423711 \h </w:instrText>
          </w:r>
          <w:r>
            <w:rPr>
              <w:noProof/>
            </w:rPr>
          </w:r>
          <w:r>
            <w:rPr>
              <w:noProof/>
            </w:rPr>
            <w:fldChar w:fldCharType="separate"/>
          </w:r>
          <w:r w:rsidR="00DF4E36">
            <w:rPr>
              <w:noProof/>
            </w:rPr>
            <w:t>51</w:t>
          </w:r>
          <w:r>
            <w:rPr>
              <w:noProof/>
            </w:rPr>
            <w:fldChar w:fldCharType="end"/>
          </w:r>
        </w:p>
        <w:p w14:paraId="6EA5E3FC" w14:textId="77777777" w:rsidR="00C95099" w:rsidRDefault="00C95099">
          <w:pPr>
            <w:pStyle w:val="Obsah2"/>
            <w:tabs>
              <w:tab w:val="left" w:pos="740"/>
            </w:tabs>
            <w:rPr>
              <w:rFonts w:asciiTheme="minorHAnsi" w:eastAsiaTheme="minorEastAsia" w:hAnsiTheme="minorHAnsi" w:cstheme="minorBidi"/>
              <w:noProof/>
              <w:sz w:val="24"/>
              <w:lang w:val="cs-CZ" w:eastAsia="ja-JP"/>
            </w:rPr>
          </w:pPr>
          <w:r w:rsidRPr="0016572F">
            <w:rPr>
              <w:i/>
              <w:noProof/>
            </w:rPr>
            <w:t>7.2.1.</w:t>
          </w:r>
          <w:r>
            <w:rPr>
              <w:rFonts w:asciiTheme="minorHAnsi" w:eastAsiaTheme="minorEastAsia" w:hAnsiTheme="minorHAnsi" w:cstheme="minorBidi"/>
              <w:noProof/>
              <w:sz w:val="24"/>
              <w:lang w:val="cs-CZ" w:eastAsia="ja-JP"/>
            </w:rPr>
            <w:tab/>
          </w:r>
          <w:r w:rsidRPr="0016572F">
            <w:rPr>
              <w:i/>
              <w:noProof/>
            </w:rPr>
            <w:t>Kompetence dle Zákona</w:t>
          </w:r>
          <w:r>
            <w:rPr>
              <w:noProof/>
            </w:rPr>
            <w:tab/>
          </w:r>
          <w:r>
            <w:rPr>
              <w:noProof/>
            </w:rPr>
            <w:fldChar w:fldCharType="begin"/>
          </w:r>
          <w:r>
            <w:rPr>
              <w:noProof/>
            </w:rPr>
            <w:instrText xml:space="preserve"> PAGEREF _Toc301423712 \h </w:instrText>
          </w:r>
          <w:r>
            <w:rPr>
              <w:noProof/>
            </w:rPr>
          </w:r>
          <w:r>
            <w:rPr>
              <w:noProof/>
            </w:rPr>
            <w:fldChar w:fldCharType="separate"/>
          </w:r>
          <w:r w:rsidR="00DF4E36">
            <w:rPr>
              <w:noProof/>
            </w:rPr>
            <w:t>51</w:t>
          </w:r>
          <w:r>
            <w:rPr>
              <w:noProof/>
            </w:rPr>
            <w:fldChar w:fldCharType="end"/>
          </w:r>
        </w:p>
        <w:p w14:paraId="6D2837C0" w14:textId="77777777" w:rsidR="00C95099" w:rsidRDefault="00C95099">
          <w:pPr>
            <w:pStyle w:val="Obsah2"/>
            <w:tabs>
              <w:tab w:val="left" w:pos="740"/>
            </w:tabs>
            <w:rPr>
              <w:rFonts w:asciiTheme="minorHAnsi" w:eastAsiaTheme="minorEastAsia" w:hAnsiTheme="minorHAnsi" w:cstheme="minorBidi"/>
              <w:noProof/>
              <w:sz w:val="24"/>
              <w:lang w:val="cs-CZ" w:eastAsia="ja-JP"/>
            </w:rPr>
          </w:pPr>
          <w:r w:rsidRPr="0016572F">
            <w:rPr>
              <w:i/>
              <w:noProof/>
            </w:rPr>
            <w:t>7.2.2.</w:t>
          </w:r>
          <w:r>
            <w:rPr>
              <w:rFonts w:asciiTheme="minorHAnsi" w:eastAsiaTheme="minorEastAsia" w:hAnsiTheme="minorHAnsi" w:cstheme="minorBidi"/>
              <w:noProof/>
              <w:sz w:val="24"/>
              <w:lang w:val="cs-CZ" w:eastAsia="ja-JP"/>
            </w:rPr>
            <w:tab/>
          </w:r>
          <w:r w:rsidRPr="0016572F">
            <w:rPr>
              <w:i/>
              <w:noProof/>
            </w:rPr>
            <w:t>Uplatnění</w:t>
          </w:r>
          <w:r>
            <w:rPr>
              <w:noProof/>
            </w:rPr>
            <w:tab/>
          </w:r>
          <w:r>
            <w:rPr>
              <w:noProof/>
            </w:rPr>
            <w:fldChar w:fldCharType="begin"/>
          </w:r>
          <w:r>
            <w:rPr>
              <w:noProof/>
            </w:rPr>
            <w:instrText xml:space="preserve"> PAGEREF _Toc301423713 \h </w:instrText>
          </w:r>
          <w:r>
            <w:rPr>
              <w:noProof/>
            </w:rPr>
          </w:r>
          <w:r>
            <w:rPr>
              <w:noProof/>
            </w:rPr>
            <w:fldChar w:fldCharType="separate"/>
          </w:r>
          <w:r w:rsidR="00DF4E36">
            <w:rPr>
              <w:noProof/>
            </w:rPr>
            <w:t>51</w:t>
          </w:r>
          <w:r>
            <w:rPr>
              <w:noProof/>
            </w:rPr>
            <w:fldChar w:fldCharType="end"/>
          </w:r>
        </w:p>
        <w:p w14:paraId="3AEFAEAC" w14:textId="77777777" w:rsidR="00C95099" w:rsidRDefault="00C95099">
          <w:pPr>
            <w:pStyle w:val="Obsah2"/>
            <w:tabs>
              <w:tab w:val="left" w:pos="574"/>
            </w:tabs>
            <w:rPr>
              <w:rFonts w:asciiTheme="minorHAnsi" w:eastAsiaTheme="minorEastAsia" w:hAnsiTheme="minorHAnsi" w:cstheme="minorBidi"/>
              <w:noProof/>
              <w:sz w:val="24"/>
              <w:lang w:val="cs-CZ" w:eastAsia="ja-JP"/>
            </w:rPr>
          </w:pPr>
          <w:r>
            <w:rPr>
              <w:noProof/>
            </w:rPr>
            <w:t>7.3.</w:t>
          </w:r>
          <w:r>
            <w:rPr>
              <w:rFonts w:asciiTheme="minorHAnsi" w:eastAsiaTheme="minorEastAsia" w:hAnsiTheme="minorHAnsi" w:cstheme="minorBidi"/>
              <w:noProof/>
              <w:sz w:val="24"/>
              <w:lang w:val="cs-CZ" w:eastAsia="ja-JP"/>
            </w:rPr>
            <w:tab/>
          </w:r>
          <w:r>
            <w:rPr>
              <w:noProof/>
            </w:rPr>
            <w:t>Efektivní využívání spektra</w:t>
          </w:r>
          <w:r>
            <w:rPr>
              <w:noProof/>
            </w:rPr>
            <w:tab/>
          </w:r>
          <w:r>
            <w:rPr>
              <w:noProof/>
            </w:rPr>
            <w:fldChar w:fldCharType="begin"/>
          </w:r>
          <w:r>
            <w:rPr>
              <w:noProof/>
            </w:rPr>
            <w:instrText xml:space="preserve"> PAGEREF _Toc301423714 \h </w:instrText>
          </w:r>
          <w:r>
            <w:rPr>
              <w:noProof/>
            </w:rPr>
          </w:r>
          <w:r>
            <w:rPr>
              <w:noProof/>
            </w:rPr>
            <w:fldChar w:fldCharType="separate"/>
          </w:r>
          <w:r w:rsidR="00DF4E36">
            <w:rPr>
              <w:noProof/>
            </w:rPr>
            <w:t>52</w:t>
          </w:r>
          <w:r>
            <w:rPr>
              <w:noProof/>
            </w:rPr>
            <w:fldChar w:fldCharType="end"/>
          </w:r>
        </w:p>
        <w:p w14:paraId="180CC1F2" w14:textId="77777777" w:rsidR="00C95099" w:rsidRDefault="00C95099">
          <w:pPr>
            <w:pStyle w:val="Obsah2"/>
            <w:tabs>
              <w:tab w:val="left" w:pos="740"/>
            </w:tabs>
            <w:rPr>
              <w:rFonts w:asciiTheme="minorHAnsi" w:eastAsiaTheme="minorEastAsia" w:hAnsiTheme="minorHAnsi" w:cstheme="minorBidi"/>
              <w:noProof/>
              <w:sz w:val="24"/>
              <w:lang w:val="cs-CZ" w:eastAsia="ja-JP"/>
            </w:rPr>
          </w:pPr>
          <w:r w:rsidRPr="0016572F">
            <w:rPr>
              <w:i/>
              <w:noProof/>
            </w:rPr>
            <w:t>7.3.1.</w:t>
          </w:r>
          <w:r>
            <w:rPr>
              <w:rFonts w:asciiTheme="minorHAnsi" w:eastAsiaTheme="minorEastAsia" w:hAnsiTheme="minorHAnsi" w:cstheme="minorBidi"/>
              <w:noProof/>
              <w:sz w:val="24"/>
              <w:lang w:val="cs-CZ" w:eastAsia="ja-JP"/>
            </w:rPr>
            <w:tab/>
          </w:r>
          <w:r w:rsidRPr="0016572F">
            <w:rPr>
              <w:i/>
              <w:noProof/>
            </w:rPr>
            <w:t>Kompetence dle Zákona</w:t>
          </w:r>
          <w:r>
            <w:rPr>
              <w:noProof/>
            </w:rPr>
            <w:tab/>
          </w:r>
          <w:r>
            <w:rPr>
              <w:noProof/>
            </w:rPr>
            <w:fldChar w:fldCharType="begin"/>
          </w:r>
          <w:r>
            <w:rPr>
              <w:noProof/>
            </w:rPr>
            <w:instrText xml:space="preserve"> PAGEREF _Toc301423715 \h </w:instrText>
          </w:r>
          <w:r>
            <w:rPr>
              <w:noProof/>
            </w:rPr>
          </w:r>
          <w:r>
            <w:rPr>
              <w:noProof/>
            </w:rPr>
            <w:fldChar w:fldCharType="separate"/>
          </w:r>
          <w:r w:rsidR="00DF4E36">
            <w:rPr>
              <w:noProof/>
            </w:rPr>
            <w:t>52</w:t>
          </w:r>
          <w:r>
            <w:rPr>
              <w:noProof/>
            </w:rPr>
            <w:fldChar w:fldCharType="end"/>
          </w:r>
        </w:p>
        <w:p w14:paraId="3C792300" w14:textId="77777777" w:rsidR="00C95099" w:rsidRDefault="00C95099">
          <w:pPr>
            <w:pStyle w:val="Obsah2"/>
            <w:tabs>
              <w:tab w:val="left" w:pos="740"/>
            </w:tabs>
            <w:rPr>
              <w:rFonts w:asciiTheme="minorHAnsi" w:eastAsiaTheme="minorEastAsia" w:hAnsiTheme="minorHAnsi" w:cstheme="minorBidi"/>
              <w:noProof/>
              <w:sz w:val="24"/>
              <w:lang w:val="cs-CZ" w:eastAsia="ja-JP"/>
            </w:rPr>
          </w:pPr>
          <w:r w:rsidRPr="0016572F">
            <w:rPr>
              <w:i/>
              <w:noProof/>
            </w:rPr>
            <w:t>7.3.2.</w:t>
          </w:r>
          <w:r>
            <w:rPr>
              <w:rFonts w:asciiTheme="minorHAnsi" w:eastAsiaTheme="minorEastAsia" w:hAnsiTheme="minorHAnsi" w:cstheme="minorBidi"/>
              <w:noProof/>
              <w:sz w:val="24"/>
              <w:lang w:val="cs-CZ" w:eastAsia="ja-JP"/>
            </w:rPr>
            <w:tab/>
          </w:r>
          <w:r w:rsidRPr="0016572F">
            <w:rPr>
              <w:i/>
              <w:noProof/>
            </w:rPr>
            <w:t>Uplatnění</w:t>
          </w:r>
          <w:r>
            <w:rPr>
              <w:noProof/>
            </w:rPr>
            <w:tab/>
          </w:r>
          <w:r>
            <w:rPr>
              <w:noProof/>
            </w:rPr>
            <w:fldChar w:fldCharType="begin"/>
          </w:r>
          <w:r>
            <w:rPr>
              <w:noProof/>
            </w:rPr>
            <w:instrText xml:space="preserve"> PAGEREF _Toc301423716 \h </w:instrText>
          </w:r>
          <w:r>
            <w:rPr>
              <w:noProof/>
            </w:rPr>
          </w:r>
          <w:r>
            <w:rPr>
              <w:noProof/>
            </w:rPr>
            <w:fldChar w:fldCharType="separate"/>
          </w:r>
          <w:r w:rsidR="00DF4E36">
            <w:rPr>
              <w:noProof/>
            </w:rPr>
            <w:t>52</w:t>
          </w:r>
          <w:r>
            <w:rPr>
              <w:noProof/>
            </w:rPr>
            <w:fldChar w:fldCharType="end"/>
          </w:r>
        </w:p>
        <w:p w14:paraId="0E4098C9" w14:textId="77777777" w:rsidR="00C95099" w:rsidRDefault="00C95099">
          <w:pPr>
            <w:pStyle w:val="Obsah2"/>
            <w:tabs>
              <w:tab w:val="left" w:pos="574"/>
            </w:tabs>
            <w:rPr>
              <w:rFonts w:asciiTheme="minorHAnsi" w:eastAsiaTheme="minorEastAsia" w:hAnsiTheme="minorHAnsi" w:cstheme="minorBidi"/>
              <w:noProof/>
              <w:sz w:val="24"/>
              <w:lang w:val="cs-CZ" w:eastAsia="ja-JP"/>
            </w:rPr>
          </w:pPr>
          <w:r>
            <w:rPr>
              <w:noProof/>
            </w:rPr>
            <w:lastRenderedPageBreak/>
            <w:t>7.4.</w:t>
          </w:r>
          <w:r>
            <w:rPr>
              <w:rFonts w:asciiTheme="minorHAnsi" w:eastAsiaTheme="minorEastAsia" w:hAnsiTheme="minorHAnsi" w:cstheme="minorBidi"/>
              <w:noProof/>
              <w:sz w:val="24"/>
              <w:lang w:val="cs-CZ" w:eastAsia="ja-JP"/>
            </w:rPr>
            <w:tab/>
          </w:r>
          <w:r>
            <w:rPr>
              <w:noProof/>
            </w:rPr>
            <w:t>Kvalita služby, ochrana koncového uživatele a spotřebitele</w:t>
          </w:r>
          <w:r>
            <w:rPr>
              <w:noProof/>
            </w:rPr>
            <w:tab/>
          </w:r>
          <w:r>
            <w:rPr>
              <w:noProof/>
            </w:rPr>
            <w:fldChar w:fldCharType="begin"/>
          </w:r>
          <w:r>
            <w:rPr>
              <w:noProof/>
            </w:rPr>
            <w:instrText xml:space="preserve"> PAGEREF _Toc301423717 \h </w:instrText>
          </w:r>
          <w:r>
            <w:rPr>
              <w:noProof/>
            </w:rPr>
          </w:r>
          <w:r>
            <w:rPr>
              <w:noProof/>
            </w:rPr>
            <w:fldChar w:fldCharType="separate"/>
          </w:r>
          <w:r w:rsidR="00DF4E36">
            <w:rPr>
              <w:noProof/>
            </w:rPr>
            <w:t>52</w:t>
          </w:r>
          <w:r>
            <w:rPr>
              <w:noProof/>
            </w:rPr>
            <w:fldChar w:fldCharType="end"/>
          </w:r>
        </w:p>
        <w:p w14:paraId="5F320C11" w14:textId="77777777" w:rsidR="00C95099" w:rsidRDefault="00C95099">
          <w:pPr>
            <w:pStyle w:val="Obsah1"/>
            <w:tabs>
              <w:tab w:val="left" w:pos="407"/>
            </w:tabs>
            <w:rPr>
              <w:rFonts w:asciiTheme="minorHAnsi" w:eastAsiaTheme="minorEastAsia" w:hAnsiTheme="minorHAnsi" w:cstheme="minorBidi"/>
              <w:noProof/>
              <w:sz w:val="24"/>
              <w:lang w:val="cs-CZ" w:eastAsia="ja-JP"/>
            </w:rPr>
          </w:pPr>
          <w:r w:rsidRPr="0016572F">
            <w:rPr>
              <w:noProof/>
              <w:lang w:val="cs-CZ"/>
            </w:rPr>
            <w:t>8.</w:t>
          </w:r>
          <w:r>
            <w:rPr>
              <w:rFonts w:asciiTheme="minorHAnsi" w:eastAsiaTheme="minorEastAsia" w:hAnsiTheme="minorHAnsi" w:cstheme="minorBidi"/>
              <w:noProof/>
              <w:sz w:val="24"/>
              <w:lang w:val="cs-CZ" w:eastAsia="ja-JP"/>
            </w:rPr>
            <w:tab/>
          </w:r>
          <w:r w:rsidRPr="0016572F">
            <w:rPr>
              <w:noProof/>
              <w:lang w:val="cs-CZ"/>
            </w:rPr>
            <w:t>Kompetence jiných orgánů ve vztahu ke sdílení sítí</w:t>
          </w:r>
          <w:r>
            <w:rPr>
              <w:noProof/>
            </w:rPr>
            <w:tab/>
          </w:r>
          <w:r>
            <w:rPr>
              <w:noProof/>
            </w:rPr>
            <w:fldChar w:fldCharType="begin"/>
          </w:r>
          <w:r>
            <w:rPr>
              <w:noProof/>
            </w:rPr>
            <w:instrText xml:space="preserve"> PAGEREF _Toc301423718 \h </w:instrText>
          </w:r>
          <w:r>
            <w:rPr>
              <w:noProof/>
            </w:rPr>
          </w:r>
          <w:r>
            <w:rPr>
              <w:noProof/>
            </w:rPr>
            <w:fldChar w:fldCharType="separate"/>
          </w:r>
          <w:r w:rsidR="00DF4E36">
            <w:rPr>
              <w:noProof/>
            </w:rPr>
            <w:t>53</w:t>
          </w:r>
          <w:r>
            <w:rPr>
              <w:noProof/>
            </w:rPr>
            <w:fldChar w:fldCharType="end"/>
          </w:r>
        </w:p>
        <w:p w14:paraId="1E05D918" w14:textId="77777777" w:rsidR="00C95099" w:rsidRDefault="00C95099">
          <w:pPr>
            <w:pStyle w:val="Obsah2"/>
            <w:tabs>
              <w:tab w:val="left" w:pos="574"/>
            </w:tabs>
            <w:rPr>
              <w:rFonts w:asciiTheme="minorHAnsi" w:eastAsiaTheme="minorEastAsia" w:hAnsiTheme="minorHAnsi" w:cstheme="minorBidi"/>
              <w:noProof/>
              <w:sz w:val="24"/>
              <w:lang w:val="cs-CZ" w:eastAsia="ja-JP"/>
            </w:rPr>
          </w:pPr>
          <w:r>
            <w:rPr>
              <w:noProof/>
            </w:rPr>
            <w:t>8.1.</w:t>
          </w:r>
          <w:r>
            <w:rPr>
              <w:rFonts w:asciiTheme="minorHAnsi" w:eastAsiaTheme="minorEastAsia" w:hAnsiTheme="minorHAnsi" w:cstheme="minorBidi"/>
              <w:noProof/>
              <w:sz w:val="24"/>
              <w:lang w:val="cs-CZ" w:eastAsia="ja-JP"/>
            </w:rPr>
            <w:tab/>
          </w:r>
          <w:r>
            <w:rPr>
              <w:noProof/>
            </w:rPr>
            <w:t>Úřad pro ochranu hospodářské soutěže</w:t>
          </w:r>
          <w:r>
            <w:rPr>
              <w:noProof/>
            </w:rPr>
            <w:tab/>
          </w:r>
          <w:r>
            <w:rPr>
              <w:noProof/>
            </w:rPr>
            <w:fldChar w:fldCharType="begin"/>
          </w:r>
          <w:r>
            <w:rPr>
              <w:noProof/>
            </w:rPr>
            <w:instrText xml:space="preserve"> PAGEREF _Toc301423719 \h </w:instrText>
          </w:r>
          <w:r>
            <w:rPr>
              <w:noProof/>
            </w:rPr>
          </w:r>
          <w:r>
            <w:rPr>
              <w:noProof/>
            </w:rPr>
            <w:fldChar w:fldCharType="separate"/>
          </w:r>
          <w:r w:rsidR="00DF4E36">
            <w:rPr>
              <w:noProof/>
            </w:rPr>
            <w:t>53</w:t>
          </w:r>
          <w:r>
            <w:rPr>
              <w:noProof/>
            </w:rPr>
            <w:fldChar w:fldCharType="end"/>
          </w:r>
        </w:p>
        <w:p w14:paraId="61663D4A" w14:textId="77777777" w:rsidR="00C95099" w:rsidRDefault="00C95099">
          <w:pPr>
            <w:pStyle w:val="Obsah2"/>
            <w:tabs>
              <w:tab w:val="left" w:pos="574"/>
            </w:tabs>
            <w:rPr>
              <w:rFonts w:asciiTheme="minorHAnsi" w:eastAsiaTheme="minorEastAsia" w:hAnsiTheme="minorHAnsi" w:cstheme="minorBidi"/>
              <w:noProof/>
              <w:sz w:val="24"/>
              <w:lang w:val="cs-CZ" w:eastAsia="ja-JP"/>
            </w:rPr>
          </w:pPr>
          <w:r>
            <w:rPr>
              <w:noProof/>
            </w:rPr>
            <w:t>8.2.</w:t>
          </w:r>
          <w:r>
            <w:rPr>
              <w:rFonts w:asciiTheme="minorHAnsi" w:eastAsiaTheme="minorEastAsia" w:hAnsiTheme="minorHAnsi" w:cstheme="minorBidi"/>
              <w:noProof/>
              <w:sz w:val="24"/>
              <w:lang w:val="cs-CZ" w:eastAsia="ja-JP"/>
            </w:rPr>
            <w:tab/>
          </w:r>
          <w:r>
            <w:rPr>
              <w:noProof/>
            </w:rPr>
            <w:t>Komise</w:t>
          </w:r>
          <w:r>
            <w:rPr>
              <w:noProof/>
            </w:rPr>
            <w:tab/>
          </w:r>
          <w:r>
            <w:rPr>
              <w:noProof/>
            </w:rPr>
            <w:fldChar w:fldCharType="begin"/>
          </w:r>
          <w:r>
            <w:rPr>
              <w:noProof/>
            </w:rPr>
            <w:instrText xml:space="preserve"> PAGEREF _Toc301423720 \h </w:instrText>
          </w:r>
          <w:r>
            <w:rPr>
              <w:noProof/>
            </w:rPr>
          </w:r>
          <w:r>
            <w:rPr>
              <w:noProof/>
            </w:rPr>
            <w:fldChar w:fldCharType="separate"/>
          </w:r>
          <w:r w:rsidR="00DF4E36">
            <w:rPr>
              <w:noProof/>
            </w:rPr>
            <w:t>54</w:t>
          </w:r>
          <w:r>
            <w:rPr>
              <w:noProof/>
            </w:rPr>
            <w:fldChar w:fldCharType="end"/>
          </w:r>
        </w:p>
        <w:p w14:paraId="2A4A3C57" w14:textId="77777777" w:rsidR="00C95099" w:rsidRDefault="00C95099">
          <w:pPr>
            <w:pStyle w:val="Obsah2"/>
            <w:tabs>
              <w:tab w:val="left" w:pos="574"/>
            </w:tabs>
            <w:rPr>
              <w:rFonts w:asciiTheme="minorHAnsi" w:eastAsiaTheme="minorEastAsia" w:hAnsiTheme="minorHAnsi" w:cstheme="minorBidi"/>
              <w:noProof/>
              <w:sz w:val="24"/>
              <w:lang w:val="cs-CZ" w:eastAsia="ja-JP"/>
            </w:rPr>
          </w:pPr>
          <w:r>
            <w:rPr>
              <w:noProof/>
            </w:rPr>
            <w:t>8.3.</w:t>
          </w:r>
          <w:r>
            <w:rPr>
              <w:rFonts w:asciiTheme="minorHAnsi" w:eastAsiaTheme="minorEastAsia" w:hAnsiTheme="minorHAnsi" w:cstheme="minorBidi"/>
              <w:noProof/>
              <w:sz w:val="24"/>
              <w:lang w:val="cs-CZ" w:eastAsia="ja-JP"/>
            </w:rPr>
            <w:tab/>
          </w:r>
          <w:r>
            <w:rPr>
              <w:noProof/>
            </w:rPr>
            <w:t>Povaha a účel Stanoviska v kontextu působnosti a pravomocí jednotlivých orgánů</w:t>
          </w:r>
          <w:r>
            <w:rPr>
              <w:noProof/>
            </w:rPr>
            <w:tab/>
          </w:r>
          <w:r>
            <w:rPr>
              <w:noProof/>
            </w:rPr>
            <w:fldChar w:fldCharType="begin"/>
          </w:r>
          <w:r>
            <w:rPr>
              <w:noProof/>
            </w:rPr>
            <w:instrText xml:space="preserve"> PAGEREF _Toc301423721 \h </w:instrText>
          </w:r>
          <w:r>
            <w:rPr>
              <w:noProof/>
            </w:rPr>
          </w:r>
          <w:r>
            <w:rPr>
              <w:noProof/>
            </w:rPr>
            <w:fldChar w:fldCharType="separate"/>
          </w:r>
          <w:r w:rsidR="00DF4E36">
            <w:rPr>
              <w:noProof/>
            </w:rPr>
            <w:t>54</w:t>
          </w:r>
          <w:r>
            <w:rPr>
              <w:noProof/>
            </w:rPr>
            <w:fldChar w:fldCharType="end"/>
          </w:r>
        </w:p>
        <w:p w14:paraId="7CF9A420" w14:textId="77777777" w:rsidR="00C95099" w:rsidRDefault="00C95099">
          <w:pPr>
            <w:pStyle w:val="Obsah1"/>
            <w:rPr>
              <w:rFonts w:asciiTheme="minorHAnsi" w:eastAsiaTheme="minorEastAsia" w:hAnsiTheme="minorHAnsi" w:cstheme="minorBidi"/>
              <w:noProof/>
              <w:sz w:val="24"/>
              <w:lang w:val="cs-CZ" w:eastAsia="ja-JP"/>
            </w:rPr>
          </w:pPr>
          <w:r w:rsidRPr="0016572F">
            <w:rPr>
              <w:noProof/>
              <w:lang w:val="cs-CZ"/>
            </w:rPr>
            <w:t>Příloha č. 1</w:t>
          </w:r>
          <w:r>
            <w:rPr>
              <w:noProof/>
            </w:rPr>
            <w:tab/>
          </w:r>
          <w:r>
            <w:rPr>
              <w:noProof/>
            </w:rPr>
            <w:fldChar w:fldCharType="begin"/>
          </w:r>
          <w:r>
            <w:rPr>
              <w:noProof/>
            </w:rPr>
            <w:instrText xml:space="preserve"> PAGEREF _Toc301423722 \h </w:instrText>
          </w:r>
          <w:r>
            <w:rPr>
              <w:noProof/>
            </w:rPr>
          </w:r>
          <w:r>
            <w:rPr>
              <w:noProof/>
            </w:rPr>
            <w:fldChar w:fldCharType="separate"/>
          </w:r>
          <w:r w:rsidR="00DF4E36">
            <w:rPr>
              <w:noProof/>
            </w:rPr>
            <w:t>5</w:t>
          </w:r>
          <w:r w:rsidR="00DF4E36">
            <w:rPr>
              <w:noProof/>
            </w:rPr>
            <w:t>5</w:t>
          </w:r>
          <w:r>
            <w:rPr>
              <w:noProof/>
            </w:rPr>
            <w:fldChar w:fldCharType="end"/>
          </w:r>
        </w:p>
        <w:p w14:paraId="154441D7" w14:textId="77777777" w:rsidR="000767E4" w:rsidRDefault="00A967BC" w:rsidP="0025534B">
          <w:pPr>
            <w:keepNext/>
            <w:keepLines/>
            <w:rPr>
              <w:lang w:val="cs-CZ"/>
            </w:rPr>
            <w:sectPr w:rsidR="000767E4" w:rsidSect="00053DFC">
              <w:headerReference w:type="default" r:id="rId9"/>
              <w:footerReference w:type="default" r:id="rId10"/>
              <w:footerReference w:type="first" r:id="rId11"/>
              <w:pgSz w:w="11906" w:h="16838" w:code="9"/>
              <w:pgMar w:top="1701" w:right="1797" w:bottom="1701" w:left="1701" w:header="709" w:footer="709" w:gutter="0"/>
              <w:pgBorders w:display="firstPage" w:offsetFrom="page">
                <w:top w:val="thinThickSmallGap" w:sz="24" w:space="24" w:color="BFBFBF" w:themeColor="background1" w:themeShade="BF"/>
                <w:left w:val="thinThickSmallGap" w:sz="24" w:space="24" w:color="BFBFBF" w:themeColor="background1" w:themeShade="BF"/>
                <w:bottom w:val="thinThickSmallGap" w:sz="24" w:space="24" w:color="BFBFBF" w:themeColor="background1" w:themeShade="BF"/>
                <w:right w:val="thinThickSmallGap" w:sz="24" w:space="24" w:color="BFBFBF" w:themeColor="background1" w:themeShade="BF"/>
              </w:pgBorders>
              <w:cols w:space="708"/>
              <w:docGrid w:linePitch="360"/>
            </w:sectPr>
          </w:pPr>
          <w:r w:rsidRPr="00A26B30">
            <w:rPr>
              <w:rFonts w:cs="Arial"/>
              <w:b/>
              <w:bCs/>
              <w:szCs w:val="20"/>
              <w:lang w:val="cs-CZ"/>
            </w:rPr>
            <w:fldChar w:fldCharType="end"/>
          </w:r>
        </w:p>
      </w:sdtContent>
    </w:sdt>
    <w:p w14:paraId="769E8428" w14:textId="77777777" w:rsidR="007100D0" w:rsidRPr="00896584" w:rsidRDefault="009A3DB2" w:rsidP="0025534B">
      <w:pPr>
        <w:pStyle w:val="Nadpis1"/>
        <w:rPr>
          <w:lang w:val="cs-CZ"/>
        </w:rPr>
      </w:pPr>
      <w:bookmarkStart w:id="4" w:name="_Toc301423662"/>
      <w:r w:rsidRPr="00896584">
        <w:rPr>
          <w:lang w:val="cs-CZ"/>
        </w:rPr>
        <w:lastRenderedPageBreak/>
        <w:t>Úvod</w:t>
      </w:r>
      <w:bookmarkEnd w:id="4"/>
    </w:p>
    <w:p w14:paraId="3A40F56F" w14:textId="77777777" w:rsidR="000F0000" w:rsidRPr="00475828" w:rsidRDefault="000F0000" w:rsidP="0096548E">
      <w:pPr>
        <w:keepNext/>
        <w:keepLines/>
        <w:ind w:firstLine="567"/>
        <w:rPr>
          <w:lang w:val="cs-CZ"/>
        </w:rPr>
      </w:pPr>
      <w:r w:rsidRPr="00475828">
        <w:rPr>
          <w:lang w:val="cs-CZ"/>
        </w:rPr>
        <w:t xml:space="preserve">Toto </w:t>
      </w:r>
      <w:r w:rsidR="00E078F6" w:rsidRPr="00475828">
        <w:rPr>
          <w:lang w:val="cs-CZ"/>
        </w:rPr>
        <w:t>Stanovisko</w:t>
      </w:r>
      <w:r w:rsidRPr="00475828">
        <w:rPr>
          <w:lang w:val="cs-CZ"/>
        </w:rPr>
        <w:t xml:space="preserve"> Českého telekomunikačního úřadu (dále jen „</w:t>
      </w:r>
      <w:r w:rsidRPr="00475828">
        <w:rPr>
          <w:b/>
          <w:lang w:val="cs-CZ"/>
        </w:rPr>
        <w:t>Úřad</w:t>
      </w:r>
      <w:r w:rsidRPr="00475828">
        <w:rPr>
          <w:lang w:val="cs-CZ"/>
        </w:rPr>
        <w:t>“)</w:t>
      </w:r>
      <w:r w:rsidR="00D126D2" w:rsidRPr="00475828">
        <w:rPr>
          <w:lang w:val="cs-CZ"/>
        </w:rPr>
        <w:t xml:space="preserve"> </w:t>
      </w:r>
      <w:r w:rsidRPr="00475828">
        <w:rPr>
          <w:lang w:val="cs-CZ"/>
        </w:rPr>
        <w:t>ke sdílení sítí (dále jen „</w:t>
      </w:r>
      <w:r w:rsidR="00E078F6" w:rsidRPr="00475828">
        <w:rPr>
          <w:b/>
          <w:lang w:val="cs-CZ"/>
        </w:rPr>
        <w:t>Stanovisko</w:t>
      </w:r>
      <w:r w:rsidRPr="00475828">
        <w:rPr>
          <w:lang w:val="cs-CZ"/>
        </w:rPr>
        <w:t>“) shrnuje problematiku sdílení sítí v členských státech Evropské unie a</w:t>
      </w:r>
      <w:r w:rsidR="005B6DAB">
        <w:rPr>
          <w:lang w:val="cs-CZ"/>
        </w:rPr>
        <w:t> </w:t>
      </w:r>
      <w:r w:rsidRPr="00475828">
        <w:rPr>
          <w:lang w:val="cs-CZ"/>
        </w:rPr>
        <w:t xml:space="preserve">zároveň zasazuje do tohoto evropského kontextu dohody o sdílení sítí uzavřené mezi TMCZ a O2. </w:t>
      </w:r>
      <w:r w:rsidR="00E078F6" w:rsidRPr="00475828">
        <w:rPr>
          <w:lang w:val="cs-CZ"/>
        </w:rPr>
        <w:t>Stanovisko</w:t>
      </w:r>
      <w:r w:rsidRPr="00475828">
        <w:rPr>
          <w:lang w:val="cs-CZ"/>
        </w:rPr>
        <w:t xml:space="preserve"> shrnuje závěry předběžné analýzy dokumentů týkajících se sdílení sítí </w:t>
      </w:r>
      <w:r w:rsidR="00D126D2" w:rsidRPr="00475828">
        <w:rPr>
          <w:lang w:val="cs-CZ"/>
        </w:rPr>
        <w:t xml:space="preserve">mezi TMCZ a O2 </w:t>
      </w:r>
      <w:r w:rsidRPr="00475828">
        <w:rPr>
          <w:lang w:val="cs-CZ"/>
        </w:rPr>
        <w:t xml:space="preserve">ze strany Úřadu. </w:t>
      </w:r>
    </w:p>
    <w:p w14:paraId="69146363" w14:textId="77777777" w:rsidR="006D4C6D" w:rsidRPr="00475828" w:rsidRDefault="006D4C6D" w:rsidP="0096548E">
      <w:pPr>
        <w:keepNext/>
        <w:keepLines/>
        <w:ind w:firstLine="567"/>
        <w:rPr>
          <w:lang w:val="cs-CZ"/>
        </w:rPr>
      </w:pPr>
      <w:r w:rsidRPr="00475828">
        <w:rPr>
          <w:lang w:val="cs-CZ"/>
        </w:rPr>
        <w:t>Rozsah analýzy v tomto Stanovisku je omezen na sdílení sítí 2G, 3G a 4G mezi TMCZ a</w:t>
      </w:r>
      <w:r w:rsidR="005B6DAB">
        <w:rPr>
          <w:lang w:val="cs-CZ"/>
        </w:rPr>
        <w:t> </w:t>
      </w:r>
      <w:r w:rsidRPr="00475828">
        <w:rPr>
          <w:lang w:val="cs-CZ"/>
        </w:rPr>
        <w:t>O2. Případné sdílení sítí v Praze, Brně, v dopravních prostředcích (metro) či jiných prostorách či mezi jinými subjekty není v tomto Stanovisku posuzován</w:t>
      </w:r>
      <w:r w:rsidR="00973AC1">
        <w:rPr>
          <w:lang w:val="cs-CZ"/>
        </w:rPr>
        <w:t>o</w:t>
      </w:r>
      <w:r w:rsidRPr="00475828">
        <w:rPr>
          <w:lang w:val="cs-CZ"/>
        </w:rPr>
        <w:t xml:space="preserve">.  </w:t>
      </w:r>
    </w:p>
    <w:p w14:paraId="4E35B26B" w14:textId="668C5ACF" w:rsidR="000F0000" w:rsidRPr="00475828" w:rsidRDefault="00E078F6" w:rsidP="0096548E">
      <w:pPr>
        <w:keepNext/>
        <w:keepLines/>
        <w:ind w:firstLine="567"/>
        <w:rPr>
          <w:lang w:val="cs-CZ"/>
        </w:rPr>
      </w:pPr>
      <w:r w:rsidRPr="00475828">
        <w:rPr>
          <w:lang w:val="cs-CZ"/>
        </w:rPr>
        <w:t>Stanovisko</w:t>
      </w:r>
      <w:r w:rsidR="000F0000" w:rsidRPr="00475828">
        <w:rPr>
          <w:lang w:val="cs-CZ"/>
        </w:rPr>
        <w:t xml:space="preserve"> se zaměřuje na vyhodnocení dopadu dohod o sdílení </w:t>
      </w:r>
      <w:r w:rsidR="00D126D2" w:rsidRPr="00475828">
        <w:rPr>
          <w:lang w:val="cs-CZ"/>
        </w:rPr>
        <w:t xml:space="preserve">2G, 3G a 4G </w:t>
      </w:r>
      <w:r w:rsidR="000F0000" w:rsidRPr="00475828">
        <w:rPr>
          <w:lang w:val="cs-CZ"/>
        </w:rPr>
        <w:t>sítí</w:t>
      </w:r>
      <w:r w:rsidR="00C3216F">
        <w:rPr>
          <w:lang w:val="cs-CZ"/>
        </w:rPr>
        <w:t>,</w:t>
      </w:r>
      <w:r w:rsidR="000F0000" w:rsidRPr="00475828">
        <w:rPr>
          <w:lang w:val="cs-CZ"/>
        </w:rPr>
        <w:t xml:space="preserve"> na</w:t>
      </w:r>
      <w:r w:rsidR="005B6DAB">
        <w:rPr>
          <w:lang w:val="cs-CZ"/>
        </w:rPr>
        <w:t> </w:t>
      </w:r>
      <w:r w:rsidR="000F0000" w:rsidRPr="00475828">
        <w:rPr>
          <w:lang w:val="cs-CZ"/>
        </w:rPr>
        <w:t xml:space="preserve">hospodářskou soutěž a hodnotí situaci a možné dopady sdílení sítí ke dni vydání tohoto </w:t>
      </w:r>
      <w:r w:rsidRPr="00475828">
        <w:rPr>
          <w:lang w:val="cs-CZ"/>
        </w:rPr>
        <w:t xml:space="preserve">Stanoviska </w:t>
      </w:r>
      <w:r w:rsidR="000F0000" w:rsidRPr="00475828">
        <w:rPr>
          <w:lang w:val="cs-CZ"/>
        </w:rPr>
        <w:t>a na základě dokumentů a informací do</w:t>
      </w:r>
      <w:r w:rsidR="00610C1C" w:rsidRPr="00475828">
        <w:rPr>
          <w:lang w:val="cs-CZ"/>
        </w:rPr>
        <w:t>stupných Ú</w:t>
      </w:r>
      <w:r w:rsidR="000F0000" w:rsidRPr="00475828">
        <w:rPr>
          <w:lang w:val="cs-CZ"/>
        </w:rPr>
        <w:t xml:space="preserve">řadu ke dni vydání tohoto </w:t>
      </w:r>
      <w:r w:rsidR="00D126D2" w:rsidRPr="00475828">
        <w:rPr>
          <w:lang w:val="cs-CZ"/>
        </w:rPr>
        <w:t>Stanoviska</w:t>
      </w:r>
      <w:r w:rsidR="000F0000" w:rsidRPr="00475828">
        <w:rPr>
          <w:lang w:val="cs-CZ"/>
        </w:rPr>
        <w:t xml:space="preserve">. Veškeré předpoklady o budoucím vývoji situace na trhu případně zahrnuté v tomto </w:t>
      </w:r>
      <w:r w:rsidR="00610C1C" w:rsidRPr="00475828">
        <w:rPr>
          <w:lang w:val="cs-CZ"/>
        </w:rPr>
        <w:t>Stanovisku</w:t>
      </w:r>
      <w:r w:rsidR="000F0000" w:rsidRPr="00475828">
        <w:rPr>
          <w:lang w:val="cs-CZ"/>
        </w:rPr>
        <w:t xml:space="preserve"> může Úřad kdykoli na základě reálného vývoje přehodnotit. </w:t>
      </w:r>
    </w:p>
    <w:p w14:paraId="7D0A8A75" w14:textId="31F06E20" w:rsidR="000F0000" w:rsidRPr="00475828" w:rsidRDefault="000F0000" w:rsidP="0096548E">
      <w:pPr>
        <w:keepNext/>
        <w:keepLines/>
        <w:ind w:firstLine="567"/>
        <w:rPr>
          <w:lang w:val="cs-CZ"/>
        </w:rPr>
      </w:pPr>
      <w:r w:rsidRPr="00475828">
        <w:rPr>
          <w:lang w:val="cs-CZ"/>
        </w:rPr>
        <w:t xml:space="preserve">Toto </w:t>
      </w:r>
      <w:r w:rsidR="00E078F6" w:rsidRPr="00475828">
        <w:rPr>
          <w:lang w:val="cs-CZ"/>
        </w:rPr>
        <w:t xml:space="preserve">Stanovisko </w:t>
      </w:r>
      <w:r w:rsidRPr="00475828">
        <w:rPr>
          <w:lang w:val="cs-CZ"/>
        </w:rPr>
        <w:t xml:space="preserve">není právně závazný dokument a není vydáno ve správním řízení. Úřad nemůže vyloučit, že buď </w:t>
      </w:r>
      <w:r w:rsidR="00C010C7">
        <w:rPr>
          <w:lang w:val="cs-CZ"/>
        </w:rPr>
        <w:t xml:space="preserve">on </w:t>
      </w:r>
      <w:r w:rsidRPr="00475828">
        <w:rPr>
          <w:lang w:val="cs-CZ"/>
        </w:rPr>
        <w:t>sám, nebo jiné orgány, které by vedly řízení nebo šetření či</w:t>
      </w:r>
      <w:r w:rsidR="005B6DAB">
        <w:rPr>
          <w:lang w:val="cs-CZ"/>
        </w:rPr>
        <w:t> </w:t>
      </w:r>
      <w:r w:rsidRPr="00475828">
        <w:rPr>
          <w:lang w:val="cs-CZ"/>
        </w:rPr>
        <w:t>udělovaly souhlas týkající se sdílení sítí</w:t>
      </w:r>
      <w:r w:rsidR="00847AF5" w:rsidRPr="00475828">
        <w:rPr>
          <w:lang w:val="cs-CZ"/>
        </w:rPr>
        <w:t>,</w:t>
      </w:r>
      <w:r w:rsidRPr="00475828">
        <w:rPr>
          <w:lang w:val="cs-CZ"/>
        </w:rPr>
        <w:t xml:space="preserve"> posoudí v kontextu konkrétního řízení či šetření a</w:t>
      </w:r>
      <w:r w:rsidR="00247FC2">
        <w:rPr>
          <w:lang w:val="cs-CZ"/>
        </w:rPr>
        <w:t> </w:t>
      </w:r>
      <w:r w:rsidRPr="00475828">
        <w:rPr>
          <w:lang w:val="cs-CZ"/>
        </w:rPr>
        <w:t xml:space="preserve">skutkového stavu dopady sdílení sítí jinak než v souladu se závěry tohoto </w:t>
      </w:r>
      <w:r w:rsidR="00E078F6" w:rsidRPr="00475828">
        <w:rPr>
          <w:lang w:val="cs-CZ"/>
        </w:rPr>
        <w:t>Stanoviska</w:t>
      </w:r>
      <w:r w:rsidRPr="00475828">
        <w:rPr>
          <w:lang w:val="cs-CZ"/>
        </w:rPr>
        <w:t>.</w:t>
      </w:r>
    </w:p>
    <w:p w14:paraId="186EB7AC" w14:textId="77777777" w:rsidR="00325101" w:rsidRPr="00475828" w:rsidRDefault="000F0000" w:rsidP="00325101">
      <w:pPr>
        <w:keepNext/>
        <w:keepLines/>
        <w:ind w:firstLine="567"/>
        <w:rPr>
          <w:lang w:val="cs-CZ"/>
        </w:rPr>
      </w:pPr>
      <w:r w:rsidRPr="00475828">
        <w:rPr>
          <w:lang w:val="cs-CZ"/>
        </w:rPr>
        <w:t xml:space="preserve">Toto </w:t>
      </w:r>
      <w:r w:rsidR="00E078F6" w:rsidRPr="00475828">
        <w:rPr>
          <w:lang w:val="cs-CZ"/>
        </w:rPr>
        <w:t>Stanovisko</w:t>
      </w:r>
      <w:r w:rsidRPr="00475828">
        <w:rPr>
          <w:lang w:val="cs-CZ"/>
        </w:rPr>
        <w:t xml:space="preserve"> nijak nepředjímá postup Úřadu ani závěry jakékoli </w:t>
      </w:r>
      <w:r w:rsidRPr="00475828">
        <w:rPr>
          <w:i/>
          <w:lang w:val="cs-CZ"/>
        </w:rPr>
        <w:t>ex ante</w:t>
      </w:r>
      <w:r w:rsidRPr="00475828">
        <w:rPr>
          <w:lang w:val="cs-CZ"/>
        </w:rPr>
        <w:t xml:space="preserve"> analýzy relevantního trhu elektronických komunikací, ani způsob, jak bude sdílení sítí v rámci takové případné analýzy vyhodnoceno.</w:t>
      </w:r>
    </w:p>
    <w:p w14:paraId="6A88FD0D" w14:textId="77777777" w:rsidR="00325101" w:rsidRPr="00475828" w:rsidRDefault="000F0000" w:rsidP="00325101">
      <w:pPr>
        <w:keepNext/>
        <w:keepLines/>
        <w:ind w:firstLine="567"/>
        <w:rPr>
          <w:lang w:val="cs-CZ"/>
        </w:rPr>
      </w:pPr>
      <w:r w:rsidRPr="00475828">
        <w:rPr>
          <w:lang w:val="cs-CZ"/>
        </w:rPr>
        <w:t xml:space="preserve">Toto </w:t>
      </w:r>
      <w:r w:rsidR="00E078F6" w:rsidRPr="00475828">
        <w:rPr>
          <w:lang w:val="cs-CZ"/>
        </w:rPr>
        <w:t xml:space="preserve">Stanovisko </w:t>
      </w:r>
      <w:r w:rsidR="00847AF5" w:rsidRPr="00475828">
        <w:rPr>
          <w:lang w:val="cs-CZ"/>
        </w:rPr>
        <w:t xml:space="preserve">také </w:t>
      </w:r>
      <w:r w:rsidRPr="00475828">
        <w:rPr>
          <w:lang w:val="cs-CZ"/>
        </w:rPr>
        <w:t>nijak nepředjímá postup Úřadu při přidělování práv k využívání rádiových kmitočtů či vyhodnocování dodržování podmínek a závazků spojených se</w:t>
      </w:r>
      <w:r w:rsidR="005B6DAB">
        <w:rPr>
          <w:lang w:val="cs-CZ"/>
        </w:rPr>
        <w:t> </w:t>
      </w:r>
      <w:r w:rsidRPr="00475828">
        <w:rPr>
          <w:lang w:val="cs-CZ"/>
        </w:rPr>
        <w:t>stávajícími příděly rádiových kmitočtů.</w:t>
      </w:r>
    </w:p>
    <w:p w14:paraId="2460C513" w14:textId="43F07A0B" w:rsidR="004915E2" w:rsidRPr="00475828" w:rsidRDefault="0096408F" w:rsidP="00325101">
      <w:pPr>
        <w:keepNext/>
        <w:keepLines/>
        <w:ind w:firstLine="567"/>
        <w:rPr>
          <w:i/>
          <w:color w:val="00B050"/>
          <w:lang w:val="cs-CZ"/>
        </w:rPr>
      </w:pPr>
      <w:r>
        <w:rPr>
          <w:lang w:val="cs-CZ"/>
        </w:rPr>
        <w:t>Tato z</w:t>
      </w:r>
      <w:r w:rsidR="00B369F9">
        <w:rPr>
          <w:lang w:val="cs-CZ"/>
        </w:rPr>
        <w:t xml:space="preserve">veřejněná verze </w:t>
      </w:r>
      <w:r w:rsidR="00E078F6" w:rsidRPr="00475828">
        <w:rPr>
          <w:lang w:val="cs-CZ"/>
        </w:rPr>
        <w:t>Stanovisk</w:t>
      </w:r>
      <w:r w:rsidR="00B369F9">
        <w:rPr>
          <w:lang w:val="cs-CZ"/>
        </w:rPr>
        <w:t>a</w:t>
      </w:r>
      <w:r w:rsidR="000F0000" w:rsidRPr="00475828">
        <w:rPr>
          <w:lang w:val="cs-CZ"/>
        </w:rPr>
        <w:t xml:space="preserve"> </w:t>
      </w:r>
      <w:r w:rsidR="00B369F9">
        <w:rPr>
          <w:lang w:val="cs-CZ"/>
        </w:rPr>
        <w:t>ne</w:t>
      </w:r>
      <w:r w:rsidR="000F0000" w:rsidRPr="00475828">
        <w:rPr>
          <w:lang w:val="cs-CZ"/>
        </w:rPr>
        <w:t>obsahuje informace, které jsou považovány společnostmi O2 a TMCZ, případně dalšími subjekty, za obchodní tajemství</w:t>
      </w:r>
      <w:r w:rsidR="00843D00">
        <w:rPr>
          <w:lang w:val="cs-CZ"/>
        </w:rPr>
        <w:t>,</w:t>
      </w:r>
      <w:r>
        <w:rPr>
          <w:lang w:val="cs-CZ"/>
        </w:rPr>
        <w:t xml:space="preserve"> ani žádné další důvěrné informace</w:t>
      </w:r>
      <w:r w:rsidR="000F0000" w:rsidRPr="00475828">
        <w:rPr>
          <w:lang w:val="cs-CZ"/>
        </w:rPr>
        <w:t xml:space="preserve">. </w:t>
      </w:r>
      <w:r w:rsidR="008E06B9" w:rsidRPr="00475828">
        <w:rPr>
          <w:lang w:val="cs-CZ"/>
        </w:rPr>
        <w:t xml:space="preserve"> </w:t>
      </w:r>
    </w:p>
    <w:p w14:paraId="2F752C37" w14:textId="77777777" w:rsidR="008E06B9" w:rsidRPr="00475828" w:rsidRDefault="008E06B9" w:rsidP="001D143B">
      <w:pPr>
        <w:keepNext/>
        <w:keepLines/>
        <w:spacing w:before="0" w:after="0" w:line="240" w:lineRule="auto"/>
        <w:jc w:val="left"/>
        <w:rPr>
          <w:rFonts w:cs="Arial"/>
          <w:b/>
          <w:bCs/>
          <w:sz w:val="24"/>
          <w:lang w:val="cs-CZ"/>
        </w:rPr>
      </w:pPr>
      <w:r w:rsidRPr="00475828">
        <w:rPr>
          <w:lang w:val="cs-CZ"/>
        </w:rPr>
        <w:br w:type="page"/>
      </w:r>
    </w:p>
    <w:p w14:paraId="3D2E0A4E" w14:textId="77777777" w:rsidR="007100D0" w:rsidRPr="00475828" w:rsidRDefault="007100D0" w:rsidP="001D143B">
      <w:pPr>
        <w:pStyle w:val="Nadpis1"/>
        <w:keepLines/>
        <w:rPr>
          <w:lang w:val="cs-CZ"/>
        </w:rPr>
      </w:pPr>
      <w:bookmarkStart w:id="5" w:name="_Toc301423663"/>
      <w:r w:rsidRPr="00475828">
        <w:rPr>
          <w:lang w:val="cs-CZ"/>
        </w:rPr>
        <w:lastRenderedPageBreak/>
        <w:t>Shrnutí</w:t>
      </w:r>
      <w:bookmarkEnd w:id="5"/>
    </w:p>
    <w:p w14:paraId="2A4E2163" w14:textId="24B52D96" w:rsidR="000F0000" w:rsidRPr="00475828" w:rsidRDefault="000F0000" w:rsidP="00325101">
      <w:pPr>
        <w:keepNext/>
        <w:keepLines/>
        <w:ind w:firstLine="567"/>
        <w:rPr>
          <w:lang w:val="cs-CZ"/>
        </w:rPr>
      </w:pPr>
      <w:r w:rsidRPr="00475828">
        <w:rPr>
          <w:lang w:val="cs-CZ"/>
        </w:rPr>
        <w:t xml:space="preserve">Sdílení sítí je v posledních letech </w:t>
      </w:r>
      <w:r w:rsidR="00610C1C" w:rsidRPr="00475828">
        <w:rPr>
          <w:lang w:val="cs-CZ"/>
        </w:rPr>
        <w:t>běžným jevem</w:t>
      </w:r>
      <w:r w:rsidRPr="00475828">
        <w:rPr>
          <w:lang w:val="cs-CZ"/>
        </w:rPr>
        <w:t xml:space="preserve"> napříč členskými státy Evropské unie. Z technického pohledu se může jednat o řadu různých forem vzájemného zpřístupňování infrastruktury a síťové kapacity od méně intenzivních forem</w:t>
      </w:r>
      <w:r w:rsidR="00DE0DED">
        <w:rPr>
          <w:lang w:val="cs-CZ"/>
        </w:rPr>
        <w:t>,</w:t>
      </w:r>
      <w:r w:rsidRPr="00475828">
        <w:rPr>
          <w:lang w:val="cs-CZ"/>
        </w:rPr>
        <w:t xml:space="preserve"> jako například sdílení pasivní infrastruktury</w:t>
      </w:r>
      <w:r w:rsidR="00DE0DED">
        <w:rPr>
          <w:lang w:val="cs-CZ"/>
        </w:rPr>
        <w:t>,</w:t>
      </w:r>
      <w:r w:rsidRPr="00475828">
        <w:rPr>
          <w:lang w:val="cs-CZ"/>
        </w:rPr>
        <w:t xml:space="preserve"> až po soutěžně-právně rizikovější formy sdílení</w:t>
      </w:r>
      <w:r w:rsidR="00610C1C" w:rsidRPr="00475828">
        <w:rPr>
          <w:lang w:val="cs-CZ"/>
        </w:rPr>
        <w:t xml:space="preserve"> infrastruktury</w:t>
      </w:r>
      <w:r w:rsidRPr="00475828">
        <w:rPr>
          <w:lang w:val="cs-CZ"/>
        </w:rPr>
        <w:t>, například sdílení frekvencí. Za sdílení sítí lze považovat také dohody o národním roamingu, které byly uzavřeny v</w:t>
      </w:r>
      <w:r w:rsidR="00AC6783">
        <w:rPr>
          <w:lang w:val="cs-CZ"/>
        </w:rPr>
        <w:t> </w:t>
      </w:r>
      <w:r w:rsidRPr="00475828">
        <w:rPr>
          <w:lang w:val="cs-CZ"/>
        </w:rPr>
        <w:t>několika členských státech EU (například v Rakousku, Německu či Francii) a pro které byl položen základ i v podmínkách Výběrového řízení za účelem udělení práv k využívání rádiových kmitočtů v pásmech 800 MHz, 1800 MHz a 2600 MHz vyhlášeného dne 15. srpna 2013.</w:t>
      </w:r>
    </w:p>
    <w:p w14:paraId="12639EA5" w14:textId="5721BFFD" w:rsidR="000F0000" w:rsidRPr="00475828" w:rsidRDefault="000F0000" w:rsidP="00325101">
      <w:pPr>
        <w:keepNext/>
        <w:keepLines/>
        <w:ind w:firstLine="567"/>
        <w:rPr>
          <w:lang w:val="cs-CZ"/>
        </w:rPr>
      </w:pPr>
      <w:r w:rsidRPr="00475828">
        <w:rPr>
          <w:lang w:val="cs-CZ"/>
        </w:rPr>
        <w:t xml:space="preserve">Sdílení sítí mezi TMCZ a O2 lze považovat za poměrně </w:t>
      </w:r>
      <w:r w:rsidR="00610C1C" w:rsidRPr="00475828">
        <w:rPr>
          <w:lang w:val="cs-CZ"/>
        </w:rPr>
        <w:t>rozsáhlou</w:t>
      </w:r>
      <w:r w:rsidRPr="00475828">
        <w:rPr>
          <w:lang w:val="cs-CZ"/>
        </w:rPr>
        <w:t xml:space="preserve"> </w:t>
      </w:r>
      <w:r w:rsidR="00610C1C" w:rsidRPr="00475828">
        <w:rPr>
          <w:lang w:val="cs-CZ"/>
        </w:rPr>
        <w:t>spolupráci</w:t>
      </w:r>
      <w:r w:rsidRPr="00475828">
        <w:rPr>
          <w:lang w:val="cs-CZ"/>
        </w:rPr>
        <w:t xml:space="preserve"> dvou důležitých hráčů</w:t>
      </w:r>
      <w:r w:rsidR="00610C1C" w:rsidRPr="00475828">
        <w:rPr>
          <w:lang w:val="cs-CZ"/>
        </w:rPr>
        <w:t xml:space="preserve"> na trhu. Toto sdílení n</w:t>
      </w:r>
      <w:r w:rsidRPr="00475828">
        <w:rPr>
          <w:lang w:val="cs-CZ"/>
        </w:rPr>
        <w:t>ení nicméně svým rozsahem a formou neobvyklé v evropském kontextu. Například ve Francii byla počátkem</w:t>
      </w:r>
      <w:r w:rsidR="006D4C6D" w:rsidRPr="00475828">
        <w:rPr>
          <w:lang w:val="cs-CZ"/>
        </w:rPr>
        <w:t xml:space="preserve"> </w:t>
      </w:r>
      <w:r w:rsidR="00610C1C" w:rsidRPr="00475828">
        <w:rPr>
          <w:lang w:val="cs-CZ"/>
        </w:rPr>
        <w:t>tohoto</w:t>
      </w:r>
      <w:r w:rsidRPr="00475828">
        <w:rPr>
          <w:lang w:val="cs-CZ"/>
        </w:rPr>
        <w:t xml:space="preserve"> roku uzavřena smlouva o</w:t>
      </w:r>
      <w:r w:rsidR="005B6DAB">
        <w:rPr>
          <w:lang w:val="cs-CZ"/>
        </w:rPr>
        <w:t> </w:t>
      </w:r>
      <w:r w:rsidRPr="00475828">
        <w:rPr>
          <w:lang w:val="cs-CZ"/>
        </w:rPr>
        <w:t>sdílení 2G, 3G i 4G sítí mezi druhým a třetím největším hráčem na t</w:t>
      </w:r>
      <w:r w:rsidR="00610C1C" w:rsidRPr="00475828">
        <w:rPr>
          <w:lang w:val="cs-CZ"/>
        </w:rPr>
        <w:t>rhu doplněná o</w:t>
      </w:r>
      <w:r w:rsidR="005B6DAB">
        <w:rPr>
          <w:lang w:val="cs-CZ"/>
        </w:rPr>
        <w:t> </w:t>
      </w:r>
      <w:r w:rsidR="00610C1C" w:rsidRPr="00475828">
        <w:rPr>
          <w:lang w:val="cs-CZ"/>
        </w:rPr>
        <w:t>národní roaming</w:t>
      </w:r>
      <w:r w:rsidRPr="00475828">
        <w:rPr>
          <w:lang w:val="cs-CZ"/>
        </w:rPr>
        <w:t xml:space="preserve"> pro jednoho ze sdílejících operátorů </w:t>
      </w:r>
      <w:r w:rsidR="00847AF5" w:rsidRPr="00475828">
        <w:rPr>
          <w:lang w:val="cs-CZ"/>
        </w:rPr>
        <w:t>i</w:t>
      </w:r>
      <w:r w:rsidRPr="00475828">
        <w:rPr>
          <w:lang w:val="cs-CZ"/>
        </w:rPr>
        <w:t xml:space="preserve"> o budoucí možnost sdílení frekvencí. Stejně tak v Německu, Španělsku, Švédsku a dalších zemích se lze setkat s</w:t>
      </w:r>
      <w:r w:rsidR="00144CE1">
        <w:rPr>
          <w:lang w:val="cs-CZ"/>
        </w:rPr>
        <w:t xml:space="preserve"> dohodou</w:t>
      </w:r>
      <w:r w:rsidRPr="00475828">
        <w:rPr>
          <w:lang w:val="cs-CZ"/>
        </w:rPr>
        <w:t xml:space="preserve"> či více dohodami o sdílení sítí</w:t>
      </w:r>
      <w:r w:rsidR="00610C1C" w:rsidRPr="00475828">
        <w:rPr>
          <w:lang w:val="cs-CZ"/>
        </w:rPr>
        <w:t xml:space="preserve"> obdobného rozsahu</w:t>
      </w:r>
      <w:r w:rsidRPr="00475828">
        <w:rPr>
          <w:lang w:val="cs-CZ"/>
        </w:rPr>
        <w:t>.</w:t>
      </w:r>
    </w:p>
    <w:p w14:paraId="12C9E4F4" w14:textId="710B7D11" w:rsidR="00E71B75" w:rsidRPr="00475828" w:rsidRDefault="000F0000" w:rsidP="00325101">
      <w:pPr>
        <w:keepNext/>
        <w:keepLines/>
        <w:ind w:firstLine="567"/>
        <w:rPr>
          <w:lang w:val="cs-CZ"/>
        </w:rPr>
      </w:pPr>
      <w:r w:rsidRPr="00475828">
        <w:rPr>
          <w:lang w:val="cs-CZ"/>
        </w:rPr>
        <w:t xml:space="preserve">Jediná okolnost, pro kterou ve vztahu ke sdílení sítí mezi TMCZ a O2 nebyl v rámci analyzovaných zemí identifikován srovnatelný </w:t>
      </w:r>
      <w:proofErr w:type="spellStart"/>
      <w:r w:rsidRPr="00475828">
        <w:rPr>
          <w:lang w:val="cs-CZ"/>
        </w:rPr>
        <w:t>benchmark</w:t>
      </w:r>
      <w:proofErr w:type="spellEnd"/>
      <w:r w:rsidRPr="00475828">
        <w:rPr>
          <w:lang w:val="cs-CZ"/>
        </w:rPr>
        <w:t xml:space="preserve">, je rozložení </w:t>
      </w:r>
      <w:r w:rsidR="00847AF5" w:rsidRPr="00475828">
        <w:rPr>
          <w:lang w:val="cs-CZ"/>
        </w:rPr>
        <w:t>tržních podílů</w:t>
      </w:r>
      <w:r w:rsidRPr="00475828">
        <w:rPr>
          <w:lang w:val="cs-CZ"/>
        </w:rPr>
        <w:t xml:space="preserve"> mezi sdílejícími a nesdílejícími operátory. V České republice sdílí sítě dva největší hráči na trhu s tím, že zatím jediný zbývající hráč </w:t>
      </w:r>
      <w:r w:rsidR="00610C1C" w:rsidRPr="00475828">
        <w:rPr>
          <w:lang w:val="cs-CZ"/>
        </w:rPr>
        <w:t>ž</w:t>
      </w:r>
      <w:r w:rsidR="006D4C6D" w:rsidRPr="00475828">
        <w:rPr>
          <w:lang w:val="cs-CZ"/>
        </w:rPr>
        <w:t>ádnou inf</w:t>
      </w:r>
      <w:r w:rsidR="00610C1C" w:rsidRPr="00475828">
        <w:rPr>
          <w:lang w:val="cs-CZ"/>
        </w:rPr>
        <w:t>rastrukturu</w:t>
      </w:r>
      <w:r w:rsidRPr="00475828">
        <w:rPr>
          <w:lang w:val="cs-CZ"/>
        </w:rPr>
        <w:t xml:space="preserve"> nesdílí. Ve všech ostatních analyzovaných zemích byli na trhu více než 3 hráči. To ponechávalo alespoň teoretickou možnost, aby ostatní hráči reagovali na sdílení sítí mezi dvěma hráči dohodou o spolupráci na</w:t>
      </w:r>
      <w:r w:rsidR="005B6DAB">
        <w:rPr>
          <w:lang w:val="cs-CZ"/>
        </w:rPr>
        <w:t> </w:t>
      </w:r>
      <w:r w:rsidRPr="00475828">
        <w:rPr>
          <w:lang w:val="cs-CZ"/>
        </w:rPr>
        <w:t>úrovni infrastruktury mezi zbývajícími hráči. V některých zemích se tak stalo, v jiných nikoli. Rozložení tržních podílů mezi sdílejíc</w:t>
      </w:r>
      <w:r w:rsidR="00856C7C">
        <w:rPr>
          <w:lang w:val="cs-CZ"/>
        </w:rPr>
        <w:t>í</w:t>
      </w:r>
      <w:r w:rsidRPr="00475828">
        <w:rPr>
          <w:lang w:val="cs-CZ"/>
        </w:rPr>
        <w:t xml:space="preserve"> a nesdílejíc</w:t>
      </w:r>
      <w:r w:rsidR="00856C7C">
        <w:rPr>
          <w:lang w:val="cs-CZ"/>
        </w:rPr>
        <w:t>í</w:t>
      </w:r>
      <w:r w:rsidRPr="00475828">
        <w:rPr>
          <w:lang w:val="cs-CZ"/>
        </w:rPr>
        <w:t xml:space="preserve"> operátory se nicméně ve vztahu k analyzovaným rizikům, kter</w:t>
      </w:r>
      <w:r w:rsidR="001D143B">
        <w:rPr>
          <w:lang w:val="cs-CZ"/>
        </w:rPr>
        <w:t>á</w:t>
      </w:r>
      <w:r w:rsidRPr="00475828">
        <w:rPr>
          <w:lang w:val="cs-CZ"/>
        </w:rPr>
        <w:t xml:space="preserve"> jsou obvykle regulátory identifikován</w:t>
      </w:r>
      <w:r w:rsidR="001D143B">
        <w:rPr>
          <w:lang w:val="cs-CZ"/>
        </w:rPr>
        <w:t>a</w:t>
      </w:r>
      <w:r w:rsidRPr="00475828">
        <w:rPr>
          <w:lang w:val="cs-CZ"/>
        </w:rPr>
        <w:t xml:space="preserve">, nejeví jako zásadní okolnost, která by zcela měnila závěry regulátorů ohledně dopadů sdílení sítí na hospodářskou soutěž. </w:t>
      </w:r>
      <w:r w:rsidR="00183FFE" w:rsidRPr="00475828">
        <w:rPr>
          <w:lang w:val="cs-CZ"/>
        </w:rPr>
        <w:t>Nedávná studie OECD</w:t>
      </w:r>
      <w:r w:rsidR="00183FFE" w:rsidRPr="00475828">
        <w:rPr>
          <w:rStyle w:val="Znakapoznpodarou"/>
          <w:lang w:val="cs-CZ"/>
        </w:rPr>
        <w:footnoteReference w:id="1"/>
      </w:r>
      <w:r w:rsidR="00183FFE" w:rsidRPr="00475828">
        <w:rPr>
          <w:lang w:val="cs-CZ"/>
        </w:rPr>
        <w:t xml:space="preserve"> nicméně v obecné rovině </w:t>
      </w:r>
      <w:r w:rsidR="00E71B75" w:rsidRPr="00475828">
        <w:rPr>
          <w:lang w:val="cs-CZ"/>
        </w:rPr>
        <w:t>připouští</w:t>
      </w:r>
      <w:r w:rsidR="00183FFE" w:rsidRPr="00475828">
        <w:rPr>
          <w:lang w:val="cs-CZ"/>
        </w:rPr>
        <w:t xml:space="preserve">, že sdílení sítí může být problematičtější na trhu, kde jsou pouze tři </w:t>
      </w:r>
      <w:proofErr w:type="spellStart"/>
      <w:r w:rsidR="00183FFE" w:rsidRPr="00475828">
        <w:rPr>
          <w:lang w:val="cs-CZ"/>
        </w:rPr>
        <w:t>MNOs</w:t>
      </w:r>
      <w:proofErr w:type="spellEnd"/>
      <w:r w:rsidR="00183FFE" w:rsidRPr="00475828">
        <w:rPr>
          <w:lang w:val="cs-CZ"/>
        </w:rPr>
        <w:t xml:space="preserve">: </w:t>
      </w:r>
      <w:r w:rsidR="00E71B75" w:rsidRPr="00475828">
        <w:rPr>
          <w:lang w:val="cs-CZ"/>
        </w:rPr>
        <w:t>pro tyto případy však varuje před zásahy regulátora, kterými by se pokusil</w:t>
      </w:r>
      <w:r w:rsidR="00183FFE" w:rsidRPr="00475828">
        <w:rPr>
          <w:lang w:val="cs-CZ"/>
        </w:rPr>
        <w:t xml:space="preserve"> vyrovnat nevýhodu vyplývající ze sdílení sítí dvěma operátory pro třetího nesdílejícího operátora</w:t>
      </w:r>
      <w:r w:rsidR="00E71B75" w:rsidRPr="00475828">
        <w:rPr>
          <w:lang w:val="cs-CZ"/>
        </w:rPr>
        <w:t xml:space="preserve">, které </w:t>
      </w:r>
      <w:r w:rsidR="00183FFE" w:rsidRPr="00475828">
        <w:rPr>
          <w:lang w:val="cs-CZ"/>
        </w:rPr>
        <w:t xml:space="preserve">podle OECD </w:t>
      </w:r>
      <w:r w:rsidR="00E71B75" w:rsidRPr="00475828">
        <w:rPr>
          <w:lang w:val="cs-CZ"/>
        </w:rPr>
        <w:t>mohou</w:t>
      </w:r>
      <w:r w:rsidR="00183FFE" w:rsidRPr="00475828">
        <w:rPr>
          <w:lang w:val="cs-CZ"/>
        </w:rPr>
        <w:t xml:space="preserve"> vyústit v ještě větší koncentraci na trhu a méně intenzivní hospodářskou soutěž na podřazených maloobchodních trzích.</w:t>
      </w:r>
      <w:r w:rsidR="00183FFE" w:rsidRPr="00475828">
        <w:rPr>
          <w:rStyle w:val="Znakapoznpodarou"/>
          <w:lang w:val="cs-CZ"/>
        </w:rPr>
        <w:footnoteReference w:id="2"/>
      </w:r>
      <w:r w:rsidR="00183FFE" w:rsidRPr="00475828">
        <w:rPr>
          <w:lang w:val="cs-CZ"/>
        </w:rPr>
        <w:t xml:space="preserve"> </w:t>
      </w:r>
    </w:p>
    <w:p w14:paraId="66612347" w14:textId="77777777" w:rsidR="00E71B75" w:rsidRPr="00475828" w:rsidRDefault="000F0000" w:rsidP="00325101">
      <w:pPr>
        <w:keepNext/>
        <w:keepLines/>
        <w:ind w:firstLine="567"/>
        <w:rPr>
          <w:lang w:val="cs-CZ"/>
        </w:rPr>
      </w:pPr>
      <w:r w:rsidRPr="00475828">
        <w:rPr>
          <w:lang w:val="cs-CZ"/>
        </w:rPr>
        <w:t xml:space="preserve">Dohody o sdílení sítí jsou </w:t>
      </w:r>
      <w:r w:rsidRPr="00475828">
        <w:rPr>
          <w:i/>
          <w:lang w:val="cs-CZ"/>
        </w:rPr>
        <w:t>ex ante</w:t>
      </w:r>
      <w:r w:rsidRPr="00475828">
        <w:rPr>
          <w:lang w:val="cs-CZ"/>
        </w:rPr>
        <w:t xml:space="preserve"> i </w:t>
      </w:r>
      <w:r w:rsidRPr="00475828">
        <w:rPr>
          <w:i/>
          <w:lang w:val="cs-CZ"/>
        </w:rPr>
        <w:t>ex post</w:t>
      </w:r>
      <w:r w:rsidRPr="00475828">
        <w:rPr>
          <w:lang w:val="cs-CZ"/>
        </w:rPr>
        <w:t xml:space="preserve"> regulátory, včetně Evropské komise, zpravidla analyzovány zejména z hlediska možnosti jejich kvalifikace jako zakázané horizontální dohody ve smyslu článků 101 a 102 </w:t>
      </w:r>
      <w:r w:rsidR="00A163E1">
        <w:rPr>
          <w:lang w:val="cs-CZ"/>
        </w:rPr>
        <w:t>SFEU</w:t>
      </w:r>
      <w:r w:rsidRPr="00475828">
        <w:rPr>
          <w:lang w:val="cs-CZ"/>
        </w:rPr>
        <w:t xml:space="preserve">. V řadě případů byly soutěžně-právní dopady sdílení sítí vyhodnocovány také v kontextu schvalování spojení podniků ve smyslu </w:t>
      </w:r>
      <w:r w:rsidR="00524B14" w:rsidRPr="00475828">
        <w:rPr>
          <w:lang w:val="cs-CZ"/>
        </w:rPr>
        <w:t>nařízení Rady č.</w:t>
      </w:r>
      <w:r w:rsidR="00C47A5C">
        <w:rPr>
          <w:lang w:val="cs-CZ"/>
        </w:rPr>
        <w:t> </w:t>
      </w:r>
      <w:r w:rsidR="00524B14" w:rsidRPr="00475828">
        <w:rPr>
          <w:lang w:val="cs-CZ"/>
        </w:rPr>
        <w:t>139/2004 ze dne 20. ledna 2004 o kontrole spojování podniků</w:t>
      </w:r>
      <w:r w:rsidRPr="00475828">
        <w:rPr>
          <w:lang w:val="cs-CZ"/>
        </w:rPr>
        <w:t xml:space="preserve">. </w:t>
      </w:r>
    </w:p>
    <w:p w14:paraId="3793554D" w14:textId="77777777" w:rsidR="00A718F8" w:rsidRPr="00475828" w:rsidRDefault="000F0000" w:rsidP="00325101">
      <w:pPr>
        <w:keepNext/>
        <w:keepLines/>
        <w:ind w:firstLine="567"/>
        <w:rPr>
          <w:lang w:val="cs-CZ"/>
        </w:rPr>
      </w:pPr>
      <w:r w:rsidRPr="00475828">
        <w:rPr>
          <w:lang w:val="cs-CZ"/>
        </w:rPr>
        <w:lastRenderedPageBreak/>
        <w:t xml:space="preserve">V několika případech vydali </w:t>
      </w:r>
      <w:r w:rsidRPr="00475828">
        <w:rPr>
          <w:i/>
          <w:lang w:val="cs-CZ"/>
        </w:rPr>
        <w:t>ex ante</w:t>
      </w:r>
      <w:r w:rsidRPr="00475828">
        <w:rPr>
          <w:lang w:val="cs-CZ"/>
        </w:rPr>
        <w:t xml:space="preserve"> a </w:t>
      </w:r>
      <w:r w:rsidRPr="00475828">
        <w:rPr>
          <w:i/>
          <w:lang w:val="cs-CZ"/>
        </w:rPr>
        <w:t>ex post</w:t>
      </w:r>
      <w:r w:rsidRPr="00475828">
        <w:rPr>
          <w:lang w:val="cs-CZ"/>
        </w:rPr>
        <w:t xml:space="preserve"> regulátoři vyjádření ke sdílení sítí mimo kontext jakéhokoli řízení. Sdílení sítí bývá obecně jen ve velmi malé míře či vůbec reflektováno v analýzách relevantních trhů prováděných </w:t>
      </w:r>
      <w:r w:rsidR="00E078F6" w:rsidRPr="00475828">
        <w:rPr>
          <w:i/>
          <w:lang w:val="cs-CZ"/>
        </w:rPr>
        <w:t xml:space="preserve">ex </w:t>
      </w:r>
      <w:r w:rsidRPr="00475828">
        <w:rPr>
          <w:i/>
          <w:lang w:val="cs-CZ"/>
        </w:rPr>
        <w:t>ante</w:t>
      </w:r>
      <w:r w:rsidRPr="00475828">
        <w:rPr>
          <w:lang w:val="cs-CZ"/>
        </w:rPr>
        <w:t xml:space="preserve"> regulátory. </w:t>
      </w:r>
    </w:p>
    <w:p w14:paraId="2A3C4424" w14:textId="77777777" w:rsidR="000F0000" w:rsidRPr="00475828" w:rsidRDefault="000F0000" w:rsidP="00DF4E36">
      <w:pPr>
        <w:keepLines/>
        <w:ind w:firstLine="567"/>
        <w:rPr>
          <w:lang w:val="cs-CZ"/>
        </w:rPr>
      </w:pPr>
      <w:r w:rsidRPr="00475828">
        <w:rPr>
          <w:lang w:val="cs-CZ"/>
        </w:rPr>
        <w:t xml:space="preserve">Při posuzování dopadů sdílení sítí na hospodářskou soutěž regulátoři obvykle vyhodnocují následující rizika, která Úřad zkoumá i v tomto </w:t>
      </w:r>
      <w:r w:rsidR="00E078F6" w:rsidRPr="00475828">
        <w:rPr>
          <w:lang w:val="cs-CZ"/>
        </w:rPr>
        <w:t xml:space="preserve">Stanovisku </w:t>
      </w:r>
      <w:r w:rsidRPr="00475828">
        <w:rPr>
          <w:lang w:val="cs-CZ"/>
        </w:rPr>
        <w:t xml:space="preserve">ve vztahu ke sdílení sítí </w:t>
      </w:r>
      <w:r w:rsidR="00610C1C" w:rsidRPr="00475828">
        <w:rPr>
          <w:lang w:val="cs-CZ"/>
        </w:rPr>
        <w:t xml:space="preserve">mezi TMCZ a O2 </w:t>
      </w:r>
      <w:r w:rsidRPr="00475828">
        <w:rPr>
          <w:lang w:val="cs-CZ"/>
        </w:rPr>
        <w:t xml:space="preserve">v České republice: </w:t>
      </w:r>
    </w:p>
    <w:tbl>
      <w:tblPr>
        <w:tblStyle w:val="Svtlmka1"/>
        <w:tblW w:w="0" w:type="auto"/>
        <w:tblLook w:val="04A0" w:firstRow="1" w:lastRow="0" w:firstColumn="1" w:lastColumn="0" w:noHBand="0" w:noVBand="1"/>
      </w:tblPr>
      <w:tblGrid>
        <w:gridCol w:w="2358"/>
        <w:gridCol w:w="6030"/>
      </w:tblGrid>
      <w:tr w:rsidR="000F0000" w:rsidRPr="00843D00" w14:paraId="18DE41D7" w14:textId="77777777" w:rsidTr="00E71B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31849B" w:themeFill="accent5" w:themeFillShade="BF"/>
          </w:tcPr>
          <w:p w14:paraId="650ED265" w14:textId="77777777" w:rsidR="000F0000" w:rsidRPr="00475828" w:rsidRDefault="000F0000" w:rsidP="00DF4E36">
            <w:pPr>
              <w:keepLines/>
              <w:rPr>
                <w:lang w:val="cs-CZ"/>
              </w:rPr>
            </w:pPr>
            <w:r w:rsidRPr="00475828">
              <w:rPr>
                <w:lang w:val="cs-CZ"/>
              </w:rPr>
              <w:t>Riziko</w:t>
            </w:r>
          </w:p>
        </w:tc>
        <w:tc>
          <w:tcPr>
            <w:tcW w:w="6172" w:type="dxa"/>
            <w:shd w:val="clear" w:color="auto" w:fill="31849B" w:themeFill="accent5" w:themeFillShade="BF"/>
          </w:tcPr>
          <w:p w14:paraId="04AA6B2D" w14:textId="77777777" w:rsidR="000F0000" w:rsidRPr="00475828" w:rsidRDefault="000F0000" w:rsidP="00DF4E36">
            <w:pPr>
              <w:keepLines/>
              <w:cnfStyle w:val="100000000000" w:firstRow="1" w:lastRow="0" w:firstColumn="0" w:lastColumn="0" w:oddVBand="0" w:evenVBand="0" w:oddHBand="0" w:evenHBand="0" w:firstRowFirstColumn="0" w:firstRowLastColumn="0" w:lastRowFirstColumn="0" w:lastRowLastColumn="0"/>
              <w:rPr>
                <w:lang w:val="cs-CZ"/>
              </w:rPr>
            </w:pPr>
            <w:r w:rsidRPr="00475828">
              <w:rPr>
                <w:lang w:val="cs-CZ"/>
              </w:rPr>
              <w:t>Vyhodnocení ve vztahu ke sdílení sítí mezi T</w:t>
            </w:r>
            <w:r w:rsidR="00454624" w:rsidRPr="00475828">
              <w:rPr>
                <w:lang w:val="cs-CZ"/>
              </w:rPr>
              <w:t>M</w:t>
            </w:r>
            <w:r w:rsidRPr="00475828">
              <w:rPr>
                <w:lang w:val="cs-CZ"/>
              </w:rPr>
              <w:t>CZ a O2</w:t>
            </w:r>
          </w:p>
        </w:tc>
      </w:tr>
      <w:tr w:rsidR="000F0000" w:rsidRPr="00843D00" w14:paraId="7DA81CDA" w14:textId="77777777" w:rsidTr="00E71B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1909A31" w14:textId="67FC7291" w:rsidR="000F0000" w:rsidRPr="00475828" w:rsidRDefault="000F0000" w:rsidP="00DF4E36">
            <w:pPr>
              <w:keepLines/>
              <w:jc w:val="left"/>
              <w:rPr>
                <w:lang w:val="cs-CZ"/>
              </w:rPr>
            </w:pPr>
            <w:r w:rsidRPr="00475828">
              <w:rPr>
                <w:lang w:val="cs-CZ"/>
              </w:rPr>
              <w:t>Omezení hospodářské soutěže na maloobchodním trhu v</w:t>
            </w:r>
            <w:r w:rsidR="00247FC2">
              <w:rPr>
                <w:lang w:val="cs-CZ"/>
              </w:rPr>
              <w:t> </w:t>
            </w:r>
            <w:r w:rsidRPr="00475828">
              <w:rPr>
                <w:lang w:val="cs-CZ"/>
              </w:rPr>
              <w:t>úrovni maloobchodních služeb, zejména omezením různorodosti těchto služeb</w:t>
            </w:r>
            <w:r w:rsidR="005D778B">
              <w:rPr>
                <w:lang w:val="cs-CZ"/>
              </w:rPr>
              <w:t>;</w:t>
            </w:r>
            <w:r w:rsidRPr="00475828">
              <w:rPr>
                <w:lang w:val="cs-CZ"/>
              </w:rPr>
              <w:t xml:space="preserve"> </w:t>
            </w:r>
            <w:r w:rsidR="005D778B">
              <w:rPr>
                <w:lang w:val="cs-CZ"/>
              </w:rPr>
              <w:t>t</w:t>
            </w:r>
            <w:r w:rsidRPr="00475828">
              <w:rPr>
                <w:lang w:val="cs-CZ"/>
              </w:rPr>
              <w:t>oto riziko vyplývá z rizika omezení soutěže v oblasti výstavby a</w:t>
            </w:r>
            <w:r w:rsidR="00247FC2">
              <w:rPr>
                <w:lang w:val="cs-CZ"/>
              </w:rPr>
              <w:t> </w:t>
            </w:r>
            <w:r w:rsidRPr="00475828">
              <w:rPr>
                <w:lang w:val="cs-CZ"/>
              </w:rPr>
              <w:t xml:space="preserve">údržby sítí.  </w:t>
            </w:r>
          </w:p>
          <w:p w14:paraId="43780F69" w14:textId="77777777" w:rsidR="000F0000" w:rsidRPr="00475828" w:rsidRDefault="000F0000" w:rsidP="00DF4E36">
            <w:pPr>
              <w:keepLines/>
              <w:rPr>
                <w:lang w:val="cs-CZ"/>
              </w:rPr>
            </w:pPr>
          </w:p>
        </w:tc>
        <w:tc>
          <w:tcPr>
            <w:tcW w:w="6172" w:type="dxa"/>
          </w:tcPr>
          <w:p w14:paraId="6FF3FF2A" w14:textId="77777777" w:rsidR="000F0000" w:rsidRPr="00475828" w:rsidRDefault="000F0000" w:rsidP="00DF4E36">
            <w:pPr>
              <w:keepLines/>
              <w:cnfStyle w:val="000000100000" w:firstRow="0" w:lastRow="0" w:firstColumn="0" w:lastColumn="0" w:oddVBand="0" w:evenVBand="0" w:oddHBand="1" w:evenHBand="0" w:firstRowFirstColumn="0" w:firstRowLastColumn="0" w:lastRowFirstColumn="0" w:lastRowLastColumn="0"/>
              <w:rPr>
                <w:lang w:val="cs-CZ"/>
              </w:rPr>
            </w:pPr>
            <w:r w:rsidRPr="00475828">
              <w:rPr>
                <w:lang w:val="cs-CZ"/>
              </w:rPr>
              <w:t>Úřad toto riziko vyhodnocoval ve třech rovinách:</w:t>
            </w:r>
          </w:p>
          <w:p w14:paraId="7E90EE28" w14:textId="1363EA92" w:rsidR="000F0000" w:rsidRPr="00475828" w:rsidRDefault="000F0000" w:rsidP="00DF4E36">
            <w:pPr>
              <w:pStyle w:val="Odstavecseseznamem"/>
              <w:keepLines/>
              <w:numPr>
                <w:ilvl w:val="0"/>
                <w:numId w:val="26"/>
              </w:numPr>
              <w:ind w:left="176" w:hanging="176"/>
              <w:contextualSpacing w:val="0"/>
              <w:cnfStyle w:val="000000100000" w:firstRow="0" w:lastRow="0" w:firstColumn="0" w:lastColumn="0" w:oddVBand="0" w:evenVBand="0" w:oddHBand="1" w:evenHBand="0" w:firstRowFirstColumn="0" w:firstRowLastColumn="0" w:lastRowFirstColumn="0" w:lastRowLastColumn="0"/>
              <w:rPr>
                <w:lang w:val="cs-CZ"/>
              </w:rPr>
            </w:pPr>
            <w:r w:rsidRPr="00475828">
              <w:rPr>
                <w:u w:val="single"/>
                <w:lang w:val="cs-CZ"/>
              </w:rPr>
              <w:t>Různorodost služeb daná topologií sítě:</w:t>
            </w:r>
            <w:r w:rsidRPr="00475828">
              <w:rPr>
                <w:lang w:val="cs-CZ"/>
              </w:rPr>
              <w:t xml:space="preserve"> Lze předpokládat, že sdílení sítí povede k určité unifikaci těchto parametrů služeb sdílejících operátorů, zejména pokrytí. V krátkodobém horizontu Úřad neočekává, že by sdílení sítí mělo zásadní vliv na soutěž na maloobchodním trhu z</w:t>
            </w:r>
            <w:r w:rsidR="00247FC2">
              <w:rPr>
                <w:lang w:val="cs-CZ"/>
              </w:rPr>
              <w:t> </w:t>
            </w:r>
            <w:r w:rsidRPr="00475828">
              <w:rPr>
                <w:lang w:val="cs-CZ"/>
              </w:rPr>
              <w:t>důvodu případné omezené různorodostí služeb dané shodnou nebo koordinovanou topologií sítě.</w:t>
            </w:r>
          </w:p>
          <w:p w14:paraId="190D7722" w14:textId="5AC4022F" w:rsidR="000F0000" w:rsidRPr="00475828" w:rsidRDefault="000F0000" w:rsidP="00DF4E36">
            <w:pPr>
              <w:pStyle w:val="Odstavecseseznamem"/>
              <w:keepLines/>
              <w:numPr>
                <w:ilvl w:val="0"/>
                <w:numId w:val="26"/>
              </w:numPr>
              <w:ind w:left="176" w:hanging="176"/>
              <w:contextualSpacing w:val="0"/>
              <w:cnfStyle w:val="000000100000" w:firstRow="0" w:lastRow="0" w:firstColumn="0" w:lastColumn="0" w:oddVBand="0" w:evenVBand="0" w:oddHBand="1" w:evenHBand="0" w:firstRowFirstColumn="0" w:firstRowLastColumn="0" w:lastRowFirstColumn="0" w:lastRowLastColumn="0"/>
              <w:rPr>
                <w:lang w:val="cs-CZ"/>
              </w:rPr>
            </w:pPr>
            <w:r w:rsidRPr="00475828">
              <w:rPr>
                <w:u w:val="single"/>
                <w:lang w:val="cs-CZ"/>
              </w:rPr>
              <w:t>Různorodost daná strukturou komerčních nabídek operátorů</w:t>
            </w:r>
            <w:r w:rsidR="00623B17">
              <w:rPr>
                <w:u w:val="single"/>
                <w:lang w:val="cs-CZ"/>
              </w:rPr>
              <w:t>:</w:t>
            </w:r>
            <w:r w:rsidRPr="00475828">
              <w:rPr>
                <w:lang w:val="cs-CZ"/>
              </w:rPr>
              <w:t xml:space="preserve"> </w:t>
            </w:r>
            <w:r w:rsidRPr="008004AB">
              <w:rPr>
                <w:lang w:val="cs-CZ"/>
              </w:rPr>
              <w:t xml:space="preserve">Oba sdílející operátoři si ponechávají úplnou nezávislost, pokud jde o vytváření komerčních služeb. Sdílení pasivních a aktivních prvků sítě v rozsahu smluv o sdílení sítí jim </w:t>
            </w:r>
            <w:r w:rsidR="00633A52" w:rsidRPr="008004AB">
              <w:rPr>
                <w:lang w:val="cs-CZ"/>
              </w:rPr>
              <w:t xml:space="preserve">negativně neovlivňuje možnost </w:t>
            </w:r>
            <w:r w:rsidR="00E078F6" w:rsidRPr="008004AB">
              <w:rPr>
                <w:lang w:val="cs-CZ"/>
              </w:rPr>
              <w:t>diferencovat</w:t>
            </w:r>
            <w:r w:rsidRPr="008004AB">
              <w:rPr>
                <w:lang w:val="cs-CZ"/>
              </w:rPr>
              <w:t xml:space="preserve"> služby.</w:t>
            </w:r>
            <w:r w:rsidRPr="00475828">
              <w:rPr>
                <w:lang w:val="cs-CZ"/>
              </w:rPr>
              <w:t xml:space="preserve"> Lze tedy předpokládat, že různorodost služeb na maloobchodním trhu v této rovině nebude sdílením sítí nijak dotčena.</w:t>
            </w:r>
          </w:p>
          <w:p w14:paraId="34A01DE8" w14:textId="2C94B94A" w:rsidR="000F0000" w:rsidRPr="00475828" w:rsidRDefault="000F0000" w:rsidP="00DF4E36">
            <w:pPr>
              <w:pStyle w:val="Odstavecseseznamem"/>
              <w:keepLines/>
              <w:numPr>
                <w:ilvl w:val="0"/>
                <w:numId w:val="26"/>
              </w:numPr>
              <w:ind w:left="176" w:hanging="176"/>
              <w:contextualSpacing w:val="0"/>
              <w:cnfStyle w:val="000000100000" w:firstRow="0" w:lastRow="0" w:firstColumn="0" w:lastColumn="0" w:oddVBand="0" w:evenVBand="0" w:oddHBand="1" w:evenHBand="0" w:firstRowFirstColumn="0" w:firstRowLastColumn="0" w:lastRowFirstColumn="0" w:lastRowLastColumn="0"/>
              <w:rPr>
                <w:lang w:val="cs-CZ"/>
              </w:rPr>
            </w:pPr>
            <w:r w:rsidRPr="00475828">
              <w:rPr>
                <w:u w:val="single"/>
                <w:lang w:val="cs-CZ"/>
              </w:rPr>
              <w:t>Různorodost služeb daná inovací technologie</w:t>
            </w:r>
            <w:r w:rsidR="00623B17">
              <w:rPr>
                <w:u w:val="single"/>
                <w:lang w:val="cs-CZ"/>
              </w:rPr>
              <w:t>:</w:t>
            </w:r>
            <w:r w:rsidRPr="00475828">
              <w:rPr>
                <w:lang w:val="cs-CZ"/>
              </w:rPr>
              <w:t xml:space="preserve"> Sdílení sítí může mít určitý negativní dopad na hospodářskou soutěž v oblasti inovací.  Na druhou stranu ale sdílení sítí pravděpodobně urychlí rozvoj 4G technologií a inovace v počáteční fázi výstavby 4G sítí. V</w:t>
            </w:r>
            <w:r w:rsidR="00AC6783">
              <w:rPr>
                <w:lang w:val="cs-CZ"/>
              </w:rPr>
              <w:t> </w:t>
            </w:r>
            <w:r w:rsidRPr="00475828">
              <w:rPr>
                <w:lang w:val="cs-CZ"/>
              </w:rPr>
              <w:t>současné době lze tedy očekávat spíše pozitivní vliv v oblasti inovací. Ve střednědobém a dlouhodobém časovém horizontu bude třeba tuto oblast monitorovat a pravidelně vyhodnocovat, zda v důsledku sdílení sítí nedochází ke zpomalování v oblasti inovací a nasazování nových technologií</w:t>
            </w:r>
            <w:r w:rsidR="00454624" w:rsidRPr="00475828">
              <w:rPr>
                <w:lang w:val="cs-CZ"/>
              </w:rPr>
              <w:t>.</w:t>
            </w:r>
          </w:p>
        </w:tc>
      </w:tr>
      <w:tr w:rsidR="000F0000" w:rsidRPr="00843D00" w14:paraId="1BECE059" w14:textId="77777777" w:rsidTr="00E71B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DAEEF3" w:themeFill="accent5" w:themeFillTint="33"/>
          </w:tcPr>
          <w:p w14:paraId="3567D3A7" w14:textId="60951B28" w:rsidR="000F0000" w:rsidRPr="00475828" w:rsidRDefault="000F0000" w:rsidP="00DF4E36">
            <w:pPr>
              <w:keepLines/>
              <w:jc w:val="left"/>
              <w:rPr>
                <w:lang w:val="cs-CZ"/>
              </w:rPr>
            </w:pPr>
            <w:r w:rsidRPr="00475828">
              <w:rPr>
                <w:lang w:val="cs-CZ"/>
              </w:rPr>
              <w:lastRenderedPageBreak/>
              <w:t>Omezení cenové hospodářské</w:t>
            </w:r>
            <w:r w:rsidR="00A718F8" w:rsidRPr="00475828">
              <w:rPr>
                <w:lang w:val="cs-CZ"/>
              </w:rPr>
              <w:t xml:space="preserve"> soutěže na maloobchodním trhu vyplývající z</w:t>
            </w:r>
            <w:r w:rsidR="00247FC2">
              <w:rPr>
                <w:lang w:val="cs-CZ"/>
              </w:rPr>
              <w:t> </w:t>
            </w:r>
            <w:r w:rsidRPr="00475828">
              <w:rPr>
                <w:lang w:val="cs-CZ"/>
              </w:rPr>
              <w:t xml:space="preserve">vyrovnaných nákladů </w:t>
            </w:r>
            <w:r w:rsidR="00A718F8" w:rsidRPr="00475828">
              <w:rPr>
                <w:lang w:val="cs-CZ"/>
              </w:rPr>
              <w:t>sdílejících operátorů</w:t>
            </w:r>
            <w:r w:rsidRPr="00475828">
              <w:rPr>
                <w:lang w:val="cs-CZ"/>
              </w:rPr>
              <w:t xml:space="preserve">  </w:t>
            </w:r>
          </w:p>
          <w:p w14:paraId="6B2F7C44" w14:textId="77777777" w:rsidR="000F0000" w:rsidRPr="00475828" w:rsidRDefault="000F0000" w:rsidP="00DF4E36">
            <w:pPr>
              <w:keepLines/>
              <w:ind w:firstLine="227"/>
              <w:rPr>
                <w:lang w:val="cs-CZ"/>
              </w:rPr>
            </w:pPr>
          </w:p>
        </w:tc>
        <w:tc>
          <w:tcPr>
            <w:tcW w:w="6172" w:type="dxa"/>
            <w:shd w:val="clear" w:color="auto" w:fill="DAEEF3" w:themeFill="accent5" w:themeFillTint="33"/>
          </w:tcPr>
          <w:p w14:paraId="17BF2B4D" w14:textId="77777777" w:rsidR="000F0000" w:rsidRPr="00475828" w:rsidRDefault="000F0000" w:rsidP="00DF4E36">
            <w:pPr>
              <w:keepLines/>
              <w:cnfStyle w:val="000000010000" w:firstRow="0" w:lastRow="0" w:firstColumn="0" w:lastColumn="0" w:oddVBand="0" w:evenVBand="0" w:oddHBand="0" w:evenHBand="1" w:firstRowFirstColumn="0" w:firstRowLastColumn="0" w:lastRowFirstColumn="0" w:lastRowLastColumn="0"/>
              <w:rPr>
                <w:lang w:val="cs-CZ"/>
              </w:rPr>
            </w:pPr>
            <w:r w:rsidRPr="00475828">
              <w:rPr>
                <w:lang w:val="cs-CZ"/>
              </w:rPr>
              <w:t xml:space="preserve">Úřad nepředpokládá, že by sdílení sítí zásadním způsobem přispělo ke sjednocení nákladů </w:t>
            </w:r>
            <w:r w:rsidR="00610C1C" w:rsidRPr="00475828">
              <w:rPr>
                <w:lang w:val="cs-CZ"/>
              </w:rPr>
              <w:t xml:space="preserve">sdílejících operátorů </w:t>
            </w:r>
            <w:r w:rsidRPr="00475828">
              <w:rPr>
                <w:lang w:val="cs-CZ"/>
              </w:rPr>
              <w:t xml:space="preserve">na infrastrukturu. Tyto náklady jsou již v současné době poměrně sjednoceny v důsledku jiných faktorů, jako je </w:t>
            </w:r>
            <w:r w:rsidR="00592C00" w:rsidRPr="00475828">
              <w:rPr>
                <w:lang w:val="cs-CZ"/>
              </w:rPr>
              <w:t>obdobný rozsah kmitočtového spektra přiděleného oběma operátorům, obdobní výrobci mobilní technologie, od kterých si operátoři nakupují zařízení atp</w:t>
            </w:r>
            <w:r w:rsidR="00454624" w:rsidRPr="00475828">
              <w:rPr>
                <w:lang w:val="cs-CZ"/>
              </w:rPr>
              <w:t>. Dále dl</w:t>
            </w:r>
            <w:r w:rsidRPr="00475828">
              <w:rPr>
                <w:lang w:val="cs-CZ"/>
              </w:rPr>
              <w:t>e závěru Úřadu náklady na infrastrukturu nejsou hlavní složkou nákladů, která by diferencovala jednotlivé operátory. K nákladové diferenciaci dochází vlivem rozdílných</w:t>
            </w:r>
            <w:r w:rsidR="00592C00" w:rsidRPr="00475828">
              <w:rPr>
                <w:lang w:val="cs-CZ"/>
              </w:rPr>
              <w:t xml:space="preserve"> provozních</w:t>
            </w:r>
            <w:r w:rsidRPr="00475828">
              <w:rPr>
                <w:lang w:val="cs-CZ"/>
              </w:rPr>
              <w:t xml:space="preserve"> nákladů </w:t>
            </w:r>
            <w:r w:rsidR="00592C00" w:rsidRPr="00475828">
              <w:rPr>
                <w:lang w:val="cs-CZ"/>
              </w:rPr>
              <w:t>zejména nákladů na marketing, vč. prodeje a péči o zákazníka</w:t>
            </w:r>
            <w:r w:rsidRPr="00475828">
              <w:rPr>
                <w:lang w:val="cs-CZ"/>
              </w:rPr>
              <w:t>. Úřad proto vyhodnotil toto riziko jako spíše nízké, alespoň v krátkodobém horizontu.</w:t>
            </w:r>
          </w:p>
        </w:tc>
      </w:tr>
      <w:tr w:rsidR="000F0000" w:rsidRPr="00843D00" w14:paraId="21F24CC6" w14:textId="77777777" w:rsidTr="00E71B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96772B9" w14:textId="533FAE1D" w:rsidR="000F0000" w:rsidRPr="00475828" w:rsidRDefault="000F0000" w:rsidP="00DF4E36">
            <w:pPr>
              <w:keepLines/>
              <w:jc w:val="left"/>
              <w:rPr>
                <w:lang w:val="cs-CZ"/>
              </w:rPr>
            </w:pPr>
            <w:r w:rsidRPr="00475828">
              <w:rPr>
                <w:lang w:val="cs-CZ"/>
              </w:rPr>
              <w:t>Vyšší intenzita výměny informací mezi sdílejícími operátory, která může vést k přílišné koordinaci soutěžních strategií sdílejících operátorů a vyústit v nežádoucí uniformizaci trhu</w:t>
            </w:r>
          </w:p>
        </w:tc>
        <w:tc>
          <w:tcPr>
            <w:tcW w:w="6172" w:type="dxa"/>
          </w:tcPr>
          <w:p w14:paraId="40A90C7B" w14:textId="76C09C8B" w:rsidR="000F0000" w:rsidRPr="008041FA" w:rsidRDefault="000F0000" w:rsidP="00DF4E36">
            <w:pPr>
              <w:keepLines/>
              <w:cnfStyle w:val="000000100000" w:firstRow="0" w:lastRow="0" w:firstColumn="0" w:lastColumn="0" w:oddVBand="0" w:evenVBand="0" w:oddHBand="1" w:evenHBand="0" w:firstRowFirstColumn="0" w:firstRowLastColumn="0" w:lastRowFirstColumn="0" w:lastRowLastColumn="0"/>
              <w:rPr>
                <w:rFonts w:cs="Arial"/>
                <w:highlight w:val="green"/>
                <w:lang w:val="cs-CZ"/>
              </w:rPr>
            </w:pPr>
            <w:r w:rsidRPr="00475828">
              <w:rPr>
                <w:lang w:val="cs-CZ"/>
              </w:rPr>
              <w:t xml:space="preserve">Ke dni vydání tohoto </w:t>
            </w:r>
            <w:r w:rsidR="00E078F6" w:rsidRPr="00475828">
              <w:rPr>
                <w:lang w:val="cs-CZ"/>
              </w:rPr>
              <w:t>Stanoviska</w:t>
            </w:r>
            <w:r w:rsidRPr="00475828">
              <w:rPr>
                <w:lang w:val="cs-CZ"/>
              </w:rPr>
              <w:t xml:space="preserve"> nemá Úřad indikace, že by docházelo k výměně informací, která by mohla vyústit v zásadní omezení hospodářské soutěže.  </w:t>
            </w:r>
          </w:p>
          <w:p w14:paraId="3050AC64" w14:textId="56426D24" w:rsidR="000F0000" w:rsidRPr="00475828" w:rsidRDefault="000F0000" w:rsidP="00DF4E36">
            <w:pPr>
              <w:keepLines/>
              <w:cnfStyle w:val="000000100000" w:firstRow="0" w:lastRow="0" w:firstColumn="0" w:lastColumn="0" w:oddVBand="0" w:evenVBand="0" w:oddHBand="1" w:evenHBand="0" w:firstRowFirstColumn="0" w:firstRowLastColumn="0" w:lastRowFirstColumn="0" w:lastRowLastColumn="0"/>
              <w:rPr>
                <w:lang w:val="cs-CZ"/>
              </w:rPr>
            </w:pPr>
            <w:r w:rsidRPr="00475828">
              <w:rPr>
                <w:lang w:val="cs-CZ"/>
              </w:rPr>
              <w:t xml:space="preserve">Vzhledem ke změnám v korporátní struktuře O2 lze předpokládat, že toky informací budou </w:t>
            </w:r>
            <w:r w:rsidR="001D143B">
              <w:rPr>
                <w:lang w:val="cs-CZ"/>
              </w:rPr>
              <w:t xml:space="preserve">na </w:t>
            </w:r>
            <w:r w:rsidRPr="00475828">
              <w:rPr>
                <w:lang w:val="cs-CZ"/>
              </w:rPr>
              <w:t xml:space="preserve">straně O2 výrazně transparentnější a celkové riziko vyplývající z výměny informací v rámci sdílení sítí se tak sníží. </w:t>
            </w:r>
          </w:p>
        </w:tc>
      </w:tr>
      <w:tr w:rsidR="000F0000" w:rsidRPr="00843D00" w14:paraId="2680C98D" w14:textId="77777777" w:rsidTr="00E71B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DAEEF3" w:themeFill="accent5" w:themeFillTint="33"/>
          </w:tcPr>
          <w:p w14:paraId="6778169A" w14:textId="77777777" w:rsidR="000F0000" w:rsidRPr="00475828" w:rsidRDefault="000F0000" w:rsidP="00DF4E36">
            <w:pPr>
              <w:keepLines/>
              <w:jc w:val="left"/>
              <w:rPr>
                <w:lang w:val="cs-CZ"/>
              </w:rPr>
            </w:pPr>
            <w:r w:rsidRPr="00475828">
              <w:rPr>
                <w:lang w:val="cs-CZ"/>
              </w:rPr>
              <w:t>Omezení soutěže na velkoobchodním trhu v důsledku omezení soutěže v oblasti výstavby a údržby sítí</w:t>
            </w:r>
          </w:p>
          <w:p w14:paraId="05080783" w14:textId="720D09A5" w:rsidR="000F0000" w:rsidRPr="00475828" w:rsidRDefault="000F0000" w:rsidP="00DF4E36">
            <w:pPr>
              <w:keepLines/>
              <w:jc w:val="left"/>
              <w:rPr>
                <w:lang w:val="cs-CZ"/>
              </w:rPr>
            </w:pPr>
            <w:r w:rsidRPr="00475828">
              <w:rPr>
                <w:lang w:val="cs-CZ"/>
              </w:rPr>
              <w:t>[Toto riziko nebylo jinými regulátory obvykle vůbec identifikováno, Úřad jej analyzuje nad rámec rozhodovací praxe</w:t>
            </w:r>
            <w:r w:rsidR="005D778B">
              <w:rPr>
                <w:lang w:val="cs-CZ"/>
              </w:rPr>
              <w:t>.</w:t>
            </w:r>
            <w:r w:rsidRPr="00475828">
              <w:rPr>
                <w:lang w:val="cs-CZ"/>
              </w:rPr>
              <w:t>]</w:t>
            </w:r>
          </w:p>
        </w:tc>
        <w:tc>
          <w:tcPr>
            <w:tcW w:w="6172" w:type="dxa"/>
            <w:shd w:val="clear" w:color="auto" w:fill="DAEEF3" w:themeFill="accent5" w:themeFillTint="33"/>
          </w:tcPr>
          <w:p w14:paraId="2014DFD8" w14:textId="7FCA622C" w:rsidR="000F0000" w:rsidRPr="00475828" w:rsidRDefault="00592C00" w:rsidP="00DF4E36">
            <w:pPr>
              <w:keepLines/>
              <w:cnfStyle w:val="000000010000" w:firstRow="0" w:lastRow="0" w:firstColumn="0" w:lastColumn="0" w:oddVBand="0" w:evenVBand="0" w:oddHBand="0" w:evenHBand="1" w:firstRowFirstColumn="0" w:firstRowLastColumn="0" w:lastRowFirstColumn="0" w:lastRowLastColumn="0"/>
              <w:rPr>
                <w:lang w:val="cs-CZ"/>
              </w:rPr>
            </w:pPr>
            <w:r w:rsidRPr="00475828">
              <w:rPr>
                <w:lang w:val="cs-CZ"/>
              </w:rPr>
              <w:t>Úřad nedospěl k závěru, že by v důsledku sdílení sítí došlo k významnému omezení soutěže v oblasti výstavby a údržby sítí a</w:t>
            </w:r>
            <w:r w:rsidR="00247FC2">
              <w:rPr>
                <w:lang w:val="cs-CZ"/>
              </w:rPr>
              <w:t> </w:t>
            </w:r>
            <w:r w:rsidRPr="00475828">
              <w:rPr>
                <w:lang w:val="cs-CZ"/>
              </w:rPr>
              <w:t xml:space="preserve">tedy k omezení soutěže na velkoobchodním trhu. </w:t>
            </w:r>
            <w:r w:rsidR="00D71EA7" w:rsidRPr="00475828">
              <w:rPr>
                <w:lang w:val="cs-CZ"/>
              </w:rPr>
              <w:t>Naopak jedním z výsledků sdílení by mělo být lepší pokrytí signálem mobilních sítí i</w:t>
            </w:r>
            <w:r w:rsidR="00AC6783">
              <w:rPr>
                <w:lang w:val="cs-CZ"/>
              </w:rPr>
              <w:t> </w:t>
            </w:r>
            <w:r w:rsidR="00D71EA7" w:rsidRPr="00475828">
              <w:rPr>
                <w:lang w:val="cs-CZ"/>
              </w:rPr>
              <w:t xml:space="preserve">v hůře přístupných či méně obydlených lokalitách České republiky. Navíc skutečnost, že společnost Vodafone, jako dceřiná společnost třetího největšího světového operátora, se projektu sdílení sítí neúčastní, vytváří předpoklady k dalším investicím do inovací a </w:t>
            </w:r>
            <w:r w:rsidR="00B55E36">
              <w:rPr>
                <w:lang w:val="cs-CZ"/>
              </w:rPr>
              <w:t xml:space="preserve">k </w:t>
            </w:r>
            <w:r w:rsidR="00D71EA7" w:rsidRPr="00475828">
              <w:rPr>
                <w:lang w:val="cs-CZ"/>
              </w:rPr>
              <w:t>rozvoji infrastrukturní konkurence.</w:t>
            </w:r>
          </w:p>
          <w:p w14:paraId="5BDC1E3C" w14:textId="77777777" w:rsidR="00D71EA7" w:rsidRPr="00475828" w:rsidRDefault="00D71EA7" w:rsidP="00DF4E36">
            <w:pPr>
              <w:keepLines/>
              <w:cnfStyle w:val="000000010000" w:firstRow="0" w:lastRow="0" w:firstColumn="0" w:lastColumn="0" w:oddVBand="0" w:evenVBand="0" w:oddHBand="0" w:evenHBand="1" w:firstRowFirstColumn="0" w:firstRowLastColumn="0" w:lastRowFirstColumn="0" w:lastRowLastColumn="0"/>
              <w:rPr>
                <w:lang w:val="cs-CZ"/>
              </w:rPr>
            </w:pPr>
            <w:r w:rsidRPr="00475828">
              <w:rPr>
                <w:lang w:val="cs-CZ"/>
              </w:rPr>
              <w:t>K investicím do pokrytí území sítěmi LTE navíc síťové operátory zavazují i tzv. rozvojová kritéria, jejichž plnění vyplývá z výsledků aukce kmitočtů.</w:t>
            </w:r>
          </w:p>
        </w:tc>
      </w:tr>
      <w:tr w:rsidR="000F0000" w:rsidRPr="00843D00" w14:paraId="47817971" w14:textId="77777777" w:rsidTr="00E71B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5C0F353" w14:textId="77777777" w:rsidR="000F0000" w:rsidRPr="00475828" w:rsidRDefault="000F0000" w:rsidP="00DF4E36">
            <w:pPr>
              <w:keepLines/>
              <w:jc w:val="left"/>
              <w:rPr>
                <w:lang w:val="cs-CZ"/>
              </w:rPr>
            </w:pPr>
            <w:r w:rsidRPr="00475828">
              <w:rPr>
                <w:lang w:val="cs-CZ"/>
              </w:rPr>
              <w:t>Omezení soutěže v důsledku úspor nákladů realizovaných sdílejícími operátory</w:t>
            </w:r>
          </w:p>
          <w:p w14:paraId="46438D78" w14:textId="7937F33A" w:rsidR="000F0000" w:rsidRPr="00475828" w:rsidRDefault="000F0000" w:rsidP="00DF4E36">
            <w:pPr>
              <w:keepLines/>
              <w:jc w:val="left"/>
              <w:rPr>
                <w:lang w:val="cs-CZ"/>
              </w:rPr>
            </w:pPr>
            <w:r w:rsidRPr="00475828">
              <w:rPr>
                <w:lang w:val="cs-CZ"/>
              </w:rPr>
              <w:t>[Toto riziko nebylo jinými regulátory obvykle vůbec identifikováno, Úřad jej analyzuje nad rámec rozhodovací praxe</w:t>
            </w:r>
            <w:r w:rsidR="005D778B">
              <w:rPr>
                <w:lang w:val="cs-CZ"/>
              </w:rPr>
              <w:t>.</w:t>
            </w:r>
            <w:r w:rsidRPr="00475828">
              <w:rPr>
                <w:lang w:val="cs-CZ"/>
              </w:rPr>
              <w:t>]</w:t>
            </w:r>
          </w:p>
        </w:tc>
        <w:tc>
          <w:tcPr>
            <w:tcW w:w="6172" w:type="dxa"/>
          </w:tcPr>
          <w:p w14:paraId="28971806" w14:textId="6DB72CFA" w:rsidR="000F0000" w:rsidRPr="00475828" w:rsidRDefault="00D71EA7" w:rsidP="00DF4E36">
            <w:pPr>
              <w:keepLines/>
              <w:cnfStyle w:val="000000100000" w:firstRow="0" w:lastRow="0" w:firstColumn="0" w:lastColumn="0" w:oddVBand="0" w:evenVBand="0" w:oddHBand="1" w:evenHBand="0" w:firstRowFirstColumn="0" w:firstRowLastColumn="0" w:lastRowFirstColumn="0" w:lastRowLastColumn="0"/>
              <w:rPr>
                <w:lang w:val="cs-CZ"/>
              </w:rPr>
            </w:pPr>
            <w:r w:rsidRPr="00475828">
              <w:rPr>
                <w:lang w:val="cs-CZ"/>
              </w:rPr>
              <w:t xml:space="preserve">Úřad dospěl k závěru, že byť v absolutní hodnotě mohou celkové úspory plynoucí ze sdílení sítí působit významně a motivovat operátory k účasti na tomto typu projektů, jednotková úspora na SIM kartu a měsíc se pohybuje v průměru do cca </w:t>
            </w:r>
            <w:r w:rsidR="00CC653C" w:rsidRPr="0016725C">
              <w:rPr>
                <w:rFonts w:cs="Arial"/>
                <w:highlight w:val="yellow"/>
                <w:lang w:val="cs-CZ"/>
              </w:rPr>
              <w:t>[</w:t>
            </w:r>
            <w:r w:rsidR="00CC653C" w:rsidRPr="0016725C">
              <w:rPr>
                <w:rFonts w:cs="Arial"/>
                <w:i/>
                <w:highlight w:val="yellow"/>
                <w:lang w:val="cs-CZ"/>
              </w:rPr>
              <w:t>Obchodní tajemství</w:t>
            </w:r>
            <w:r w:rsidR="00CC653C" w:rsidRPr="0016725C">
              <w:rPr>
                <w:rFonts w:cs="Arial"/>
                <w:highlight w:val="yellow"/>
                <w:lang w:val="cs-CZ"/>
              </w:rPr>
              <w:t>]</w:t>
            </w:r>
            <w:r w:rsidRPr="00475828">
              <w:rPr>
                <w:lang w:val="cs-CZ"/>
              </w:rPr>
              <w:t xml:space="preserve">Kč. Tato úspora nepředstavuje ani </w:t>
            </w:r>
            <w:r w:rsidR="00CC653C" w:rsidRPr="0016725C">
              <w:rPr>
                <w:rFonts w:cs="Arial"/>
                <w:highlight w:val="yellow"/>
                <w:lang w:val="cs-CZ"/>
              </w:rPr>
              <w:t>[</w:t>
            </w:r>
            <w:r w:rsidR="00CC653C" w:rsidRPr="0016725C">
              <w:rPr>
                <w:rFonts w:cs="Arial"/>
                <w:i/>
                <w:highlight w:val="yellow"/>
                <w:lang w:val="cs-CZ"/>
              </w:rPr>
              <w:t>Obchodní tajemství</w:t>
            </w:r>
            <w:r w:rsidR="00CC653C" w:rsidRPr="0016725C">
              <w:rPr>
                <w:rFonts w:cs="Arial"/>
                <w:highlight w:val="yellow"/>
                <w:lang w:val="cs-CZ"/>
              </w:rPr>
              <w:t>]</w:t>
            </w:r>
            <w:r w:rsidRPr="00475828">
              <w:rPr>
                <w:lang w:val="cs-CZ"/>
              </w:rPr>
              <w:t xml:space="preserve">% průměrného ARPU </w:t>
            </w:r>
            <w:r w:rsidR="00D6336F" w:rsidRPr="00475828">
              <w:rPr>
                <w:lang w:val="cs-CZ"/>
              </w:rPr>
              <w:t xml:space="preserve">u </w:t>
            </w:r>
            <w:r w:rsidR="00D73AE2">
              <w:rPr>
                <w:lang w:val="cs-CZ"/>
              </w:rPr>
              <w:t>všech tří mobilních operátorů a </w:t>
            </w:r>
            <w:r w:rsidRPr="00475828">
              <w:rPr>
                <w:lang w:val="cs-CZ"/>
              </w:rPr>
              <w:t xml:space="preserve">dle názoru Úřadu </w:t>
            </w:r>
            <w:r w:rsidR="00D6336F" w:rsidRPr="00475828">
              <w:rPr>
                <w:lang w:val="cs-CZ"/>
              </w:rPr>
              <w:t>nemá potenciál vytlačit z trhu operátora, který se projektu sdílení sítí neúčastní.</w:t>
            </w:r>
          </w:p>
        </w:tc>
      </w:tr>
    </w:tbl>
    <w:p w14:paraId="4D1CC708" w14:textId="77777777" w:rsidR="000F0000" w:rsidRPr="00475828" w:rsidRDefault="000F0000" w:rsidP="001D143B">
      <w:pPr>
        <w:keepNext/>
        <w:keepLines/>
        <w:rPr>
          <w:lang w:val="cs-CZ"/>
        </w:rPr>
      </w:pPr>
    </w:p>
    <w:p w14:paraId="640C55B8" w14:textId="77777777" w:rsidR="008E06B9" w:rsidRDefault="000F0000" w:rsidP="00325101">
      <w:pPr>
        <w:keepNext/>
        <w:keepLines/>
        <w:ind w:firstLine="567"/>
        <w:rPr>
          <w:lang w:val="cs-CZ"/>
        </w:rPr>
      </w:pPr>
      <w:r w:rsidRPr="00475828">
        <w:rPr>
          <w:lang w:val="cs-CZ"/>
        </w:rPr>
        <w:lastRenderedPageBreak/>
        <w:t xml:space="preserve">Úřad na základě analýzy výše uvedených rizik neidentifikoval žádné zásadní riziko, které by v krátkodobém horizontu mohlo vést k podstatnému narušení hospodářské soutěže. Zároveň však nelze bez dalšího uzavřít, že předmětné dohody mezi TMCZ a O2 nemohou mít ve střednědobém či dlouhodobém horizontu </w:t>
      </w:r>
      <w:r w:rsidR="0013350B" w:rsidRPr="00475828">
        <w:rPr>
          <w:lang w:val="cs-CZ"/>
        </w:rPr>
        <w:t>d</w:t>
      </w:r>
      <w:r w:rsidR="00654B93">
        <w:rPr>
          <w:lang w:val="cs-CZ"/>
        </w:rPr>
        <w:t>opad</w:t>
      </w:r>
      <w:r w:rsidRPr="00475828">
        <w:rPr>
          <w:lang w:val="cs-CZ"/>
        </w:rPr>
        <w:t xml:space="preserve"> na hospodářskou soutěž. Úřad bude dopady sdílení sítí v rámci své činnosti i nadále monitorovat, zejména pokud jde o rizika uvedená v tabulce výše. Úřad bude také dohlížet na to, aby strany dohod o sdílení sítí dodržovaly veškeré povinnosti a závazky vyplývající ze Zákona i z rozhodnutí o přídělu kmitočtů.</w:t>
      </w:r>
    </w:p>
    <w:p w14:paraId="48416F8D" w14:textId="449B2634" w:rsidR="00654B93" w:rsidRPr="00475828" w:rsidRDefault="00654B93" w:rsidP="00325101">
      <w:pPr>
        <w:keepNext/>
        <w:keepLines/>
        <w:ind w:firstLine="567"/>
        <w:rPr>
          <w:lang w:val="cs-CZ"/>
        </w:rPr>
      </w:pPr>
      <w:r>
        <w:rPr>
          <w:lang w:val="cs-CZ"/>
        </w:rPr>
        <w:t xml:space="preserve">V případě, že by Úřad v budoucnu považoval za nutné reagovat na dopady sdílení sítí, může tak učinit zejména v rámci své působnosti ve vztahu k (i) </w:t>
      </w:r>
      <w:r w:rsidR="00127715">
        <w:rPr>
          <w:lang w:val="cs-CZ"/>
        </w:rPr>
        <w:t>analýze relevantních trhů, (</w:t>
      </w:r>
      <w:proofErr w:type="spellStart"/>
      <w:r w:rsidR="00127715">
        <w:rPr>
          <w:lang w:val="cs-CZ"/>
        </w:rPr>
        <w:t>ii</w:t>
      </w:r>
      <w:proofErr w:type="spellEnd"/>
      <w:r w:rsidR="00127715">
        <w:rPr>
          <w:lang w:val="cs-CZ"/>
        </w:rPr>
        <w:t>) </w:t>
      </w:r>
      <w:r>
        <w:rPr>
          <w:lang w:val="cs-CZ"/>
        </w:rPr>
        <w:t xml:space="preserve">nastavení podmínek případných výběrových řízení </w:t>
      </w:r>
      <w:r w:rsidR="00140EF1" w:rsidRPr="00140EF1">
        <w:rPr>
          <w:lang w:val="cs-CZ"/>
        </w:rPr>
        <w:t>za účelem udělení práv k využívání rádiových kmitočtů</w:t>
      </w:r>
      <w:r w:rsidR="00140EF1">
        <w:rPr>
          <w:lang w:val="cs-CZ"/>
        </w:rPr>
        <w:t xml:space="preserve"> nebo (</w:t>
      </w:r>
      <w:proofErr w:type="spellStart"/>
      <w:r w:rsidR="00140EF1">
        <w:rPr>
          <w:lang w:val="cs-CZ"/>
        </w:rPr>
        <w:t>iii</w:t>
      </w:r>
      <w:proofErr w:type="spellEnd"/>
      <w:r w:rsidR="00140EF1">
        <w:rPr>
          <w:lang w:val="cs-CZ"/>
        </w:rPr>
        <w:t xml:space="preserve">) dohledu nad efektivním využíváním spektra. Největší množství nástrojů pak zřejmě nabízí proces definování </w:t>
      </w:r>
      <w:r w:rsidR="00140EF1" w:rsidRPr="00140EF1">
        <w:rPr>
          <w:lang w:val="cs-CZ"/>
        </w:rPr>
        <w:t>podmínek případných výběrových řízení za</w:t>
      </w:r>
      <w:r w:rsidR="005B6DAB">
        <w:rPr>
          <w:lang w:val="cs-CZ"/>
        </w:rPr>
        <w:t> </w:t>
      </w:r>
      <w:r w:rsidR="00140EF1" w:rsidRPr="00140EF1">
        <w:rPr>
          <w:lang w:val="cs-CZ"/>
        </w:rPr>
        <w:t xml:space="preserve">účelem udělení práv k využívání rádiových kmitočtů </w:t>
      </w:r>
      <w:r w:rsidR="00140EF1">
        <w:rPr>
          <w:lang w:val="cs-CZ"/>
        </w:rPr>
        <w:t>– zde Úřad za podmínky dodržení zásad otevřenosti, transparence a nediskriminace disponuje pravomocí nastavit spektrální</w:t>
      </w:r>
      <w:r w:rsidR="001D143B">
        <w:rPr>
          <w:lang w:val="cs-CZ"/>
        </w:rPr>
        <w:t xml:space="preserve"> limity, vyhradit část spektra, stanovit cenové zvýhodnění pro některé bloky nebo určit přísnější rozvojová kritéria pro sdílející operátory tak, aby byla kompenzována objektivně existující konkurenční nevýhoda mimo</w:t>
      </w:r>
      <w:r w:rsidR="000C224C">
        <w:rPr>
          <w:lang w:val="cs-CZ"/>
        </w:rPr>
        <w:t xml:space="preserve"> </w:t>
      </w:r>
      <w:r w:rsidR="001D143B">
        <w:rPr>
          <w:lang w:val="cs-CZ"/>
        </w:rPr>
        <w:t>stojících subjektů.</w:t>
      </w:r>
    </w:p>
    <w:p w14:paraId="116149CB" w14:textId="77777777" w:rsidR="008E06B9" w:rsidRPr="00475828" w:rsidRDefault="008E06B9" w:rsidP="001D143B">
      <w:pPr>
        <w:keepNext/>
        <w:keepLines/>
        <w:spacing w:before="0" w:after="0" w:line="240" w:lineRule="auto"/>
        <w:jc w:val="left"/>
        <w:rPr>
          <w:lang w:val="cs-CZ"/>
        </w:rPr>
      </w:pPr>
      <w:r w:rsidRPr="00475828">
        <w:rPr>
          <w:lang w:val="cs-CZ"/>
        </w:rPr>
        <w:br w:type="page"/>
      </w:r>
    </w:p>
    <w:p w14:paraId="5C58B4DB" w14:textId="77777777" w:rsidR="00BA6A45" w:rsidRPr="00475828" w:rsidRDefault="007100D0" w:rsidP="001D143B">
      <w:pPr>
        <w:pStyle w:val="Nadpis1"/>
        <w:keepLines/>
        <w:rPr>
          <w:lang w:val="cs-CZ"/>
        </w:rPr>
      </w:pPr>
      <w:bookmarkStart w:id="6" w:name="_Toc301423664"/>
      <w:r w:rsidRPr="00475828">
        <w:rPr>
          <w:lang w:val="cs-CZ"/>
        </w:rPr>
        <w:lastRenderedPageBreak/>
        <w:t>Analýza</w:t>
      </w:r>
      <w:bookmarkEnd w:id="6"/>
      <w:r w:rsidR="009A3DB2" w:rsidRPr="00475828">
        <w:rPr>
          <w:lang w:val="cs-CZ"/>
        </w:rPr>
        <w:t xml:space="preserve"> </w:t>
      </w:r>
      <w:r w:rsidR="00C95C0A" w:rsidRPr="00475828">
        <w:rPr>
          <w:lang w:val="cs-CZ"/>
        </w:rPr>
        <w:t xml:space="preserve"> </w:t>
      </w:r>
    </w:p>
    <w:p w14:paraId="521F13AB" w14:textId="77777777" w:rsidR="00431478" w:rsidRPr="00475828" w:rsidRDefault="00BF1574" w:rsidP="001D143B">
      <w:pPr>
        <w:pStyle w:val="Nadpis1"/>
        <w:keepLines/>
        <w:numPr>
          <w:ilvl w:val="0"/>
          <w:numId w:val="3"/>
        </w:numPr>
        <w:spacing w:before="360"/>
        <w:rPr>
          <w:lang w:val="cs-CZ"/>
        </w:rPr>
      </w:pPr>
      <w:bookmarkStart w:id="7" w:name="_Toc412465701"/>
      <w:bookmarkStart w:id="8" w:name="_Toc412467250"/>
      <w:bookmarkStart w:id="9" w:name="_Toc412467365"/>
      <w:bookmarkStart w:id="10" w:name="_Toc412467532"/>
      <w:bookmarkStart w:id="11" w:name="_Toc412467753"/>
      <w:bookmarkStart w:id="12" w:name="_Toc412467843"/>
      <w:bookmarkStart w:id="13" w:name="_Toc412467931"/>
      <w:bookmarkStart w:id="14" w:name="_Toc412468927"/>
      <w:bookmarkStart w:id="15" w:name="_Toc412470485"/>
      <w:bookmarkStart w:id="16" w:name="_Toc412470689"/>
      <w:bookmarkStart w:id="17" w:name="_Toc412470994"/>
      <w:bookmarkStart w:id="18" w:name="_Toc412471072"/>
      <w:bookmarkStart w:id="19" w:name="_Toc412471151"/>
      <w:bookmarkStart w:id="20" w:name="_Toc412471229"/>
      <w:bookmarkStart w:id="21" w:name="_Toc412471308"/>
      <w:bookmarkStart w:id="22" w:name="_Toc412471386"/>
      <w:bookmarkStart w:id="23" w:name="_Toc412471465"/>
      <w:bookmarkStart w:id="24" w:name="_Toc412471544"/>
      <w:bookmarkStart w:id="25" w:name="_Toc412471783"/>
      <w:bookmarkStart w:id="26" w:name="_Toc412471862"/>
      <w:bookmarkStart w:id="27" w:name="_Toc412471942"/>
      <w:bookmarkStart w:id="28" w:name="_Toc412465702"/>
      <w:bookmarkStart w:id="29" w:name="_Toc412467251"/>
      <w:bookmarkStart w:id="30" w:name="_Toc412467366"/>
      <w:bookmarkStart w:id="31" w:name="_Toc412467533"/>
      <w:bookmarkStart w:id="32" w:name="_Toc412467754"/>
      <w:bookmarkStart w:id="33" w:name="_Toc412467844"/>
      <w:bookmarkStart w:id="34" w:name="_Toc412467932"/>
      <w:bookmarkStart w:id="35" w:name="_Toc412468928"/>
      <w:bookmarkStart w:id="36" w:name="_Toc412470486"/>
      <w:bookmarkStart w:id="37" w:name="_Toc412470690"/>
      <w:bookmarkStart w:id="38" w:name="_Toc412470995"/>
      <w:bookmarkStart w:id="39" w:name="_Toc412471073"/>
      <w:bookmarkStart w:id="40" w:name="_Toc412471152"/>
      <w:bookmarkStart w:id="41" w:name="_Toc412471230"/>
      <w:bookmarkStart w:id="42" w:name="_Toc412471309"/>
      <w:bookmarkStart w:id="43" w:name="_Toc412471387"/>
      <w:bookmarkStart w:id="44" w:name="_Toc412471466"/>
      <w:bookmarkStart w:id="45" w:name="_Toc412471545"/>
      <w:bookmarkStart w:id="46" w:name="_Toc412471784"/>
      <w:bookmarkStart w:id="47" w:name="_Toc412471863"/>
      <w:bookmarkStart w:id="48" w:name="_Toc412471943"/>
      <w:bookmarkStart w:id="49" w:name="_Toc412465703"/>
      <w:bookmarkStart w:id="50" w:name="_Toc412467252"/>
      <w:bookmarkStart w:id="51" w:name="_Toc412467367"/>
      <w:bookmarkStart w:id="52" w:name="_Toc412467534"/>
      <w:bookmarkStart w:id="53" w:name="_Toc412467755"/>
      <w:bookmarkStart w:id="54" w:name="_Toc412467845"/>
      <w:bookmarkStart w:id="55" w:name="_Toc412467933"/>
      <w:bookmarkStart w:id="56" w:name="_Toc412468929"/>
      <w:bookmarkStart w:id="57" w:name="_Toc412470487"/>
      <w:bookmarkStart w:id="58" w:name="_Toc412470691"/>
      <w:bookmarkStart w:id="59" w:name="_Toc412470996"/>
      <w:bookmarkStart w:id="60" w:name="_Toc412471074"/>
      <w:bookmarkStart w:id="61" w:name="_Toc412471153"/>
      <w:bookmarkStart w:id="62" w:name="_Toc412471231"/>
      <w:bookmarkStart w:id="63" w:name="_Toc412471310"/>
      <w:bookmarkStart w:id="64" w:name="_Toc412471388"/>
      <w:bookmarkStart w:id="65" w:name="_Toc412471467"/>
      <w:bookmarkStart w:id="66" w:name="_Toc412471546"/>
      <w:bookmarkStart w:id="67" w:name="_Toc412471785"/>
      <w:bookmarkStart w:id="68" w:name="_Toc412471864"/>
      <w:bookmarkStart w:id="69" w:name="_Toc412471944"/>
      <w:bookmarkStart w:id="70" w:name="_Toc412465704"/>
      <w:bookmarkStart w:id="71" w:name="_Toc412467253"/>
      <w:bookmarkStart w:id="72" w:name="_Toc412467368"/>
      <w:bookmarkStart w:id="73" w:name="_Toc412467535"/>
      <w:bookmarkStart w:id="74" w:name="_Toc412467756"/>
      <w:bookmarkStart w:id="75" w:name="_Toc412467846"/>
      <w:bookmarkStart w:id="76" w:name="_Toc412467934"/>
      <w:bookmarkStart w:id="77" w:name="_Toc412468930"/>
      <w:bookmarkStart w:id="78" w:name="_Toc412470488"/>
      <w:bookmarkStart w:id="79" w:name="_Toc412470692"/>
      <w:bookmarkStart w:id="80" w:name="_Toc412470997"/>
      <w:bookmarkStart w:id="81" w:name="_Toc412471075"/>
      <w:bookmarkStart w:id="82" w:name="_Toc412471154"/>
      <w:bookmarkStart w:id="83" w:name="_Toc412471232"/>
      <w:bookmarkStart w:id="84" w:name="_Toc412471311"/>
      <w:bookmarkStart w:id="85" w:name="_Toc412471389"/>
      <w:bookmarkStart w:id="86" w:name="_Toc412471468"/>
      <w:bookmarkStart w:id="87" w:name="_Toc412471547"/>
      <w:bookmarkStart w:id="88" w:name="_Toc412471786"/>
      <w:bookmarkStart w:id="89" w:name="_Toc412471865"/>
      <w:bookmarkStart w:id="90" w:name="_Toc412471945"/>
      <w:bookmarkStart w:id="91" w:name="_Toc301423665"/>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475828">
        <w:rPr>
          <w:lang w:val="cs-CZ"/>
        </w:rPr>
        <w:t>Modely</w:t>
      </w:r>
      <w:r w:rsidR="00983B42" w:rsidRPr="00475828">
        <w:rPr>
          <w:lang w:val="cs-CZ"/>
        </w:rPr>
        <w:t xml:space="preserve"> sdílení sítí</w:t>
      </w:r>
      <w:bookmarkEnd w:id="91"/>
      <w:r w:rsidR="00983B42" w:rsidRPr="00475828">
        <w:rPr>
          <w:lang w:val="cs-CZ"/>
        </w:rPr>
        <w:t xml:space="preserve"> </w:t>
      </w:r>
    </w:p>
    <w:p w14:paraId="0D42665C" w14:textId="77777777" w:rsidR="002E3F73" w:rsidRPr="00475828" w:rsidRDefault="00BF1574" w:rsidP="001D143B">
      <w:pPr>
        <w:pStyle w:val="Nadpis2"/>
        <w:keepLines/>
        <w:numPr>
          <w:ilvl w:val="1"/>
          <w:numId w:val="3"/>
        </w:numPr>
      </w:pPr>
      <w:bookmarkStart w:id="92" w:name="_Toc301423666"/>
      <w:r w:rsidRPr="00475828">
        <w:t>Vývoj modelů sdílení sítí</w:t>
      </w:r>
      <w:bookmarkEnd w:id="92"/>
    </w:p>
    <w:p w14:paraId="475D85BA" w14:textId="77777777" w:rsidR="004955C7" w:rsidRPr="00475828" w:rsidRDefault="00075B03" w:rsidP="00325101">
      <w:pPr>
        <w:keepNext/>
        <w:keepLines/>
        <w:tabs>
          <w:tab w:val="left" w:pos="567"/>
        </w:tabs>
        <w:ind w:firstLine="567"/>
        <w:rPr>
          <w:lang w:val="cs-CZ"/>
        </w:rPr>
      </w:pPr>
      <w:r w:rsidRPr="00475828">
        <w:rPr>
          <w:lang w:val="cs-CZ"/>
        </w:rPr>
        <w:t>Existuje</w:t>
      </w:r>
      <w:r w:rsidR="003E3601" w:rsidRPr="00475828">
        <w:rPr>
          <w:lang w:val="cs-CZ"/>
        </w:rPr>
        <w:t xml:space="preserve"> mnoho různých modelů sdílení infrastruktury, spektra či jejich částí. Níže uvedená základní dělení sdílení sítí patří mezi dělení, jež jsou v obdobné formě nejčastěji používána regulačními orgány</w:t>
      </w:r>
      <w:r w:rsidR="003E3601" w:rsidRPr="00475828">
        <w:rPr>
          <w:rStyle w:val="Znakapoznpodarou"/>
          <w:lang w:val="cs-CZ"/>
        </w:rPr>
        <w:footnoteReference w:id="3"/>
      </w:r>
      <w:r w:rsidR="00AA72AB" w:rsidRPr="00475828">
        <w:rPr>
          <w:lang w:val="cs-CZ"/>
        </w:rPr>
        <w:t>,</w:t>
      </w:r>
      <w:r w:rsidR="003E3601" w:rsidRPr="00475828">
        <w:rPr>
          <w:lang w:val="cs-CZ"/>
        </w:rPr>
        <w:t xml:space="preserve"> oborovými organizacemi</w:t>
      </w:r>
      <w:r w:rsidR="006E094F" w:rsidRPr="00475828">
        <w:rPr>
          <w:rStyle w:val="Znakapoznpodarou"/>
          <w:lang w:val="cs-CZ"/>
        </w:rPr>
        <w:footnoteReference w:id="4"/>
      </w:r>
      <w:r w:rsidR="003E3601" w:rsidRPr="00475828">
        <w:rPr>
          <w:lang w:val="cs-CZ"/>
        </w:rPr>
        <w:t xml:space="preserve"> či Evropskou komisí</w:t>
      </w:r>
      <w:r w:rsidRPr="00475828">
        <w:rPr>
          <w:lang w:val="cs-CZ"/>
        </w:rPr>
        <w:t>.</w:t>
      </w:r>
      <w:r w:rsidR="006E094F" w:rsidRPr="00475828">
        <w:rPr>
          <w:rStyle w:val="Znakapoznpodarou"/>
          <w:lang w:val="cs-CZ"/>
        </w:rPr>
        <w:footnoteReference w:id="5"/>
      </w:r>
      <w:r w:rsidR="003E3601" w:rsidRPr="00475828">
        <w:rPr>
          <w:lang w:val="cs-CZ"/>
        </w:rPr>
        <w:t xml:space="preserve"> </w:t>
      </w:r>
    </w:p>
    <w:p w14:paraId="69E01426" w14:textId="4E35554D" w:rsidR="00A53E25" w:rsidRPr="00475828" w:rsidRDefault="00B45BCA" w:rsidP="00325101">
      <w:pPr>
        <w:keepNext/>
        <w:keepLines/>
        <w:ind w:firstLine="567"/>
        <w:rPr>
          <w:lang w:val="cs-CZ"/>
        </w:rPr>
      </w:pPr>
      <w:r w:rsidRPr="00475828">
        <w:rPr>
          <w:lang w:val="cs-CZ"/>
        </w:rPr>
        <w:t>M</w:t>
      </w:r>
      <w:r w:rsidR="00075B03" w:rsidRPr="00475828">
        <w:rPr>
          <w:lang w:val="cs-CZ"/>
        </w:rPr>
        <w:t>odel</w:t>
      </w:r>
      <w:r w:rsidRPr="00475828">
        <w:rPr>
          <w:lang w:val="cs-CZ"/>
        </w:rPr>
        <w:t>y</w:t>
      </w:r>
      <w:r w:rsidR="006E094F" w:rsidRPr="00475828">
        <w:rPr>
          <w:lang w:val="cs-CZ"/>
        </w:rPr>
        <w:t xml:space="preserve"> sdílení sítí </w:t>
      </w:r>
      <w:r w:rsidRPr="00475828">
        <w:rPr>
          <w:lang w:val="cs-CZ"/>
        </w:rPr>
        <w:t xml:space="preserve">jsou děleny </w:t>
      </w:r>
      <w:r w:rsidR="006E094F" w:rsidRPr="00475828">
        <w:rPr>
          <w:lang w:val="cs-CZ"/>
        </w:rPr>
        <w:t xml:space="preserve">zejména </w:t>
      </w:r>
      <w:r w:rsidR="00896432" w:rsidRPr="00475828">
        <w:rPr>
          <w:lang w:val="cs-CZ"/>
        </w:rPr>
        <w:t xml:space="preserve">dle </w:t>
      </w:r>
      <w:r w:rsidR="006E094F" w:rsidRPr="00475828">
        <w:rPr>
          <w:lang w:val="cs-CZ"/>
        </w:rPr>
        <w:t>ekonomick</w:t>
      </w:r>
      <w:r w:rsidRPr="00475828">
        <w:rPr>
          <w:lang w:val="cs-CZ"/>
        </w:rPr>
        <w:t>ých</w:t>
      </w:r>
      <w:r w:rsidR="006E094F" w:rsidRPr="00475828">
        <w:rPr>
          <w:lang w:val="cs-CZ"/>
        </w:rPr>
        <w:t>, technick</w:t>
      </w:r>
      <w:r w:rsidRPr="00475828">
        <w:rPr>
          <w:lang w:val="cs-CZ"/>
        </w:rPr>
        <w:t>ých</w:t>
      </w:r>
      <w:r w:rsidR="006E094F" w:rsidRPr="00475828">
        <w:rPr>
          <w:lang w:val="cs-CZ"/>
        </w:rPr>
        <w:t xml:space="preserve"> a regulatorní</w:t>
      </w:r>
      <w:r w:rsidRPr="00475828">
        <w:rPr>
          <w:lang w:val="cs-CZ"/>
        </w:rPr>
        <w:t>ch</w:t>
      </w:r>
      <w:r w:rsidR="002E1DA8" w:rsidRPr="00475828">
        <w:rPr>
          <w:lang w:val="cs-CZ"/>
        </w:rPr>
        <w:t xml:space="preserve"> aspekt</w:t>
      </w:r>
      <w:r w:rsidRPr="00475828">
        <w:rPr>
          <w:lang w:val="cs-CZ"/>
        </w:rPr>
        <w:t>ů</w:t>
      </w:r>
      <w:r w:rsidR="002E1DA8" w:rsidRPr="00475828">
        <w:rPr>
          <w:lang w:val="cs-CZ"/>
        </w:rPr>
        <w:t xml:space="preserve">. Historicky je nejrozšířenějším modelem </w:t>
      </w:r>
      <w:r w:rsidR="002E1DA8" w:rsidRPr="00475828">
        <w:rPr>
          <w:b/>
          <w:lang w:val="cs-CZ"/>
        </w:rPr>
        <w:t>sdílení pasivní infrastruktury</w:t>
      </w:r>
      <w:r w:rsidR="002E1DA8" w:rsidRPr="00475828">
        <w:rPr>
          <w:lang w:val="cs-CZ"/>
        </w:rPr>
        <w:t>, tj. fyzického umístěn</w:t>
      </w:r>
      <w:r w:rsidR="00A53E25" w:rsidRPr="00475828">
        <w:rPr>
          <w:lang w:val="cs-CZ"/>
        </w:rPr>
        <w:t xml:space="preserve">í </w:t>
      </w:r>
      <w:r w:rsidR="00075B03" w:rsidRPr="00475828">
        <w:rPr>
          <w:lang w:val="cs-CZ"/>
        </w:rPr>
        <w:t>(</w:t>
      </w:r>
      <w:r w:rsidR="00A53E25" w:rsidRPr="00475828">
        <w:rPr>
          <w:lang w:val="cs-CZ"/>
        </w:rPr>
        <w:t>lokalit</w:t>
      </w:r>
      <w:r w:rsidR="002E1DA8" w:rsidRPr="00475828">
        <w:rPr>
          <w:lang w:val="cs-CZ"/>
        </w:rPr>
        <w:t>, stožár</w:t>
      </w:r>
      <w:r w:rsidR="00A53E25" w:rsidRPr="00475828">
        <w:rPr>
          <w:lang w:val="cs-CZ"/>
        </w:rPr>
        <w:t>ů</w:t>
      </w:r>
      <w:r w:rsidR="002E1DA8" w:rsidRPr="00475828">
        <w:rPr>
          <w:lang w:val="cs-CZ"/>
        </w:rPr>
        <w:t xml:space="preserve"> či zdroj</w:t>
      </w:r>
      <w:r w:rsidR="00A53E25" w:rsidRPr="00475828">
        <w:rPr>
          <w:lang w:val="cs-CZ"/>
        </w:rPr>
        <w:t>ů</w:t>
      </w:r>
      <w:r w:rsidR="002E1DA8" w:rsidRPr="00475828">
        <w:rPr>
          <w:lang w:val="cs-CZ"/>
        </w:rPr>
        <w:t xml:space="preserve"> napájení a osvětlení</w:t>
      </w:r>
      <w:r w:rsidR="00075B03" w:rsidRPr="00475828">
        <w:rPr>
          <w:lang w:val="cs-CZ"/>
        </w:rPr>
        <w:t>) aktivních prvků sítě.</w:t>
      </w:r>
      <w:r w:rsidR="002E1DA8" w:rsidRPr="00475828">
        <w:rPr>
          <w:lang w:val="cs-CZ"/>
        </w:rPr>
        <w:t xml:space="preserve"> </w:t>
      </w:r>
      <w:r w:rsidR="00075B03" w:rsidRPr="00475828">
        <w:rPr>
          <w:lang w:val="cs-CZ"/>
        </w:rPr>
        <w:t>Mezi důvody popularity tohoto modelu sdílení patří</w:t>
      </w:r>
      <w:r w:rsidR="002E1DA8" w:rsidRPr="00475828">
        <w:rPr>
          <w:lang w:val="cs-CZ"/>
        </w:rPr>
        <w:t xml:space="preserve"> </w:t>
      </w:r>
      <w:r w:rsidR="00075B03" w:rsidRPr="00475828">
        <w:rPr>
          <w:lang w:val="cs-CZ"/>
        </w:rPr>
        <w:t xml:space="preserve">relativní </w:t>
      </w:r>
      <w:r w:rsidR="002E1DA8" w:rsidRPr="00475828">
        <w:rPr>
          <w:lang w:val="cs-CZ"/>
        </w:rPr>
        <w:t>technologick</w:t>
      </w:r>
      <w:r w:rsidR="00075B03" w:rsidRPr="00475828">
        <w:rPr>
          <w:lang w:val="cs-CZ"/>
        </w:rPr>
        <w:t>á</w:t>
      </w:r>
      <w:r w:rsidR="002514CA" w:rsidRPr="00475828">
        <w:rPr>
          <w:lang w:val="cs-CZ"/>
        </w:rPr>
        <w:t xml:space="preserve"> i ekonomická jednoduchost, kdy</w:t>
      </w:r>
      <w:r w:rsidR="005B6DAB">
        <w:rPr>
          <w:lang w:val="cs-CZ"/>
        </w:rPr>
        <w:t> </w:t>
      </w:r>
      <w:r w:rsidR="002514CA" w:rsidRPr="00475828">
        <w:rPr>
          <w:lang w:val="cs-CZ"/>
        </w:rPr>
        <w:t>operátoři sdílejí pouze základní infrastrukturu</w:t>
      </w:r>
      <w:r w:rsidR="005E344B">
        <w:rPr>
          <w:lang w:val="cs-CZ"/>
        </w:rPr>
        <w:t>,</w:t>
      </w:r>
      <w:r w:rsidR="002514CA" w:rsidRPr="00475828">
        <w:rPr>
          <w:lang w:val="cs-CZ"/>
        </w:rPr>
        <w:t xml:space="preserve"> a</w:t>
      </w:r>
      <w:r w:rsidR="005E344B">
        <w:rPr>
          <w:lang w:val="cs-CZ"/>
        </w:rPr>
        <w:t>le</w:t>
      </w:r>
      <w:r w:rsidR="002514CA" w:rsidRPr="00475828">
        <w:rPr>
          <w:lang w:val="cs-CZ"/>
        </w:rPr>
        <w:t xml:space="preserve"> většinu sítě si zabezpečují sami dle vlastních technických řešení</w:t>
      </w:r>
      <w:r w:rsidR="002E1DA8" w:rsidRPr="00475828">
        <w:rPr>
          <w:lang w:val="cs-CZ"/>
        </w:rPr>
        <w:t xml:space="preserve">. </w:t>
      </w:r>
      <w:r w:rsidR="002514CA" w:rsidRPr="00475828">
        <w:rPr>
          <w:lang w:val="cs-CZ"/>
        </w:rPr>
        <w:t xml:space="preserve">Sdílení pasivní infrastruktury, tzv. </w:t>
      </w:r>
      <w:proofErr w:type="spellStart"/>
      <w:r w:rsidR="002514CA" w:rsidRPr="00475828">
        <w:rPr>
          <w:lang w:val="cs-CZ"/>
        </w:rPr>
        <w:t>site</w:t>
      </w:r>
      <w:proofErr w:type="spellEnd"/>
      <w:r w:rsidR="002514CA" w:rsidRPr="00475828">
        <w:rPr>
          <w:lang w:val="cs-CZ"/>
        </w:rPr>
        <w:t xml:space="preserve"> </w:t>
      </w:r>
      <w:proofErr w:type="spellStart"/>
      <w:r w:rsidR="002514CA" w:rsidRPr="00475828">
        <w:rPr>
          <w:lang w:val="cs-CZ"/>
        </w:rPr>
        <w:t>sharing</w:t>
      </w:r>
      <w:proofErr w:type="spellEnd"/>
      <w:r w:rsidR="00BD4136" w:rsidRPr="00475828">
        <w:rPr>
          <w:lang w:val="cs-CZ"/>
        </w:rPr>
        <w:t xml:space="preserve"> (případně</w:t>
      </w:r>
      <w:r w:rsidR="000A4573" w:rsidRPr="00475828">
        <w:rPr>
          <w:lang w:val="cs-CZ"/>
        </w:rPr>
        <w:t xml:space="preserve"> tzv. mast </w:t>
      </w:r>
      <w:proofErr w:type="spellStart"/>
      <w:r w:rsidR="000A4573" w:rsidRPr="00475828">
        <w:rPr>
          <w:lang w:val="cs-CZ"/>
        </w:rPr>
        <w:t>sharing</w:t>
      </w:r>
      <w:proofErr w:type="spellEnd"/>
      <w:r w:rsidR="000A4573" w:rsidRPr="00475828">
        <w:rPr>
          <w:lang w:val="cs-CZ"/>
        </w:rPr>
        <w:t>)</w:t>
      </w:r>
      <w:r w:rsidR="002514CA" w:rsidRPr="00475828">
        <w:rPr>
          <w:lang w:val="cs-CZ"/>
        </w:rPr>
        <w:t>, je</w:t>
      </w:r>
      <w:r w:rsidR="00EF7B6E" w:rsidRPr="00475828">
        <w:rPr>
          <w:lang w:val="cs-CZ"/>
        </w:rPr>
        <w:t xml:space="preserve"> nejschůdnější varian</w:t>
      </w:r>
      <w:r w:rsidR="002514CA" w:rsidRPr="00475828">
        <w:rPr>
          <w:lang w:val="cs-CZ"/>
        </w:rPr>
        <w:t>tou</w:t>
      </w:r>
      <w:r w:rsidR="00EF7B6E" w:rsidRPr="00475828">
        <w:rPr>
          <w:lang w:val="cs-CZ"/>
        </w:rPr>
        <w:t xml:space="preserve"> sdílení</w:t>
      </w:r>
      <w:r w:rsidR="002514CA" w:rsidRPr="00475828">
        <w:rPr>
          <w:lang w:val="cs-CZ"/>
        </w:rPr>
        <w:t xml:space="preserve"> také</w:t>
      </w:r>
      <w:r w:rsidR="00EF7B6E" w:rsidRPr="00475828">
        <w:rPr>
          <w:lang w:val="cs-CZ"/>
        </w:rPr>
        <w:t xml:space="preserve"> z pohledu regulace,</w:t>
      </w:r>
      <w:r w:rsidR="00D73AE2">
        <w:rPr>
          <w:lang w:val="cs-CZ"/>
        </w:rPr>
        <w:t xml:space="preserve"> národní regulátoři i </w:t>
      </w:r>
      <w:r w:rsidR="002514CA" w:rsidRPr="00475828">
        <w:rPr>
          <w:lang w:val="cs-CZ"/>
        </w:rPr>
        <w:t xml:space="preserve">soutěžní autority se již mnohokrát </w:t>
      </w:r>
      <w:r w:rsidR="00604D83" w:rsidRPr="00475828">
        <w:rPr>
          <w:lang w:val="cs-CZ"/>
        </w:rPr>
        <w:t xml:space="preserve">kladně </w:t>
      </w:r>
      <w:r w:rsidR="002514CA" w:rsidRPr="00475828">
        <w:rPr>
          <w:lang w:val="cs-CZ"/>
        </w:rPr>
        <w:t xml:space="preserve">vyjádřili </w:t>
      </w:r>
      <w:r w:rsidR="00604D83" w:rsidRPr="00475828">
        <w:rPr>
          <w:lang w:val="cs-CZ"/>
        </w:rPr>
        <w:t>ohledně</w:t>
      </w:r>
      <w:r w:rsidR="002514CA" w:rsidRPr="00475828">
        <w:rPr>
          <w:lang w:val="cs-CZ"/>
        </w:rPr>
        <w:t xml:space="preserve"> takové</w:t>
      </w:r>
      <w:r w:rsidR="00604D83" w:rsidRPr="00475828">
        <w:rPr>
          <w:lang w:val="cs-CZ"/>
        </w:rPr>
        <w:t xml:space="preserve"> formy</w:t>
      </w:r>
      <w:r w:rsidR="002514CA" w:rsidRPr="00475828">
        <w:rPr>
          <w:lang w:val="cs-CZ"/>
        </w:rPr>
        <w:t xml:space="preserve"> sdílení</w:t>
      </w:r>
      <w:r w:rsidR="00A53E25" w:rsidRPr="00475828">
        <w:rPr>
          <w:lang w:val="cs-CZ"/>
        </w:rPr>
        <w:t>.</w:t>
      </w:r>
      <w:r w:rsidR="00E13E30" w:rsidRPr="00475828">
        <w:rPr>
          <w:rStyle w:val="Znakapoznpodarou"/>
          <w:lang w:val="cs-CZ"/>
        </w:rPr>
        <w:footnoteReference w:id="6"/>
      </w:r>
      <w:r w:rsidR="002514CA" w:rsidRPr="00475828">
        <w:rPr>
          <w:lang w:val="cs-CZ"/>
        </w:rPr>
        <w:t xml:space="preserve"> Není neobvyklé, že</w:t>
      </w:r>
      <w:r w:rsidR="005B6DAB">
        <w:rPr>
          <w:lang w:val="cs-CZ"/>
        </w:rPr>
        <w:t> </w:t>
      </w:r>
      <w:r w:rsidR="002514CA" w:rsidRPr="00475828">
        <w:rPr>
          <w:lang w:val="cs-CZ"/>
        </w:rPr>
        <w:t xml:space="preserve">podpora </w:t>
      </w:r>
      <w:proofErr w:type="spellStart"/>
      <w:r w:rsidR="002514CA" w:rsidRPr="00475828">
        <w:rPr>
          <w:lang w:val="cs-CZ"/>
        </w:rPr>
        <w:t>site</w:t>
      </w:r>
      <w:proofErr w:type="spellEnd"/>
      <w:r w:rsidR="002514CA" w:rsidRPr="00475828">
        <w:rPr>
          <w:lang w:val="cs-CZ"/>
        </w:rPr>
        <w:t xml:space="preserve"> </w:t>
      </w:r>
      <w:proofErr w:type="spellStart"/>
      <w:r w:rsidR="002514CA" w:rsidRPr="00475828">
        <w:rPr>
          <w:lang w:val="cs-CZ"/>
        </w:rPr>
        <w:t>sharingu</w:t>
      </w:r>
      <w:proofErr w:type="spellEnd"/>
      <w:r w:rsidR="002514CA" w:rsidRPr="00475828">
        <w:rPr>
          <w:lang w:val="cs-CZ"/>
        </w:rPr>
        <w:t xml:space="preserve"> je zahrnuta také v právních předpisech.</w:t>
      </w:r>
      <w:r w:rsidR="00BA6D75" w:rsidRPr="00475828">
        <w:rPr>
          <w:rStyle w:val="Znakapoznpodarou"/>
          <w:lang w:val="cs-CZ"/>
        </w:rPr>
        <w:footnoteReference w:id="7"/>
      </w:r>
    </w:p>
    <w:p w14:paraId="5471DF01" w14:textId="4E998DAF" w:rsidR="002514CA" w:rsidRPr="00475828" w:rsidRDefault="002514CA" w:rsidP="00325101">
      <w:pPr>
        <w:keepNext/>
        <w:keepLines/>
        <w:ind w:firstLine="567"/>
        <w:rPr>
          <w:lang w:val="cs-CZ"/>
        </w:rPr>
      </w:pPr>
      <w:r w:rsidRPr="00475828">
        <w:rPr>
          <w:lang w:val="cs-CZ"/>
        </w:rPr>
        <w:t>Trendem v sektoru mobilních komunikací jsou stále se zvyšující nároky na kapacitu a</w:t>
      </w:r>
      <w:r w:rsidR="00247FC2">
        <w:rPr>
          <w:lang w:val="cs-CZ"/>
        </w:rPr>
        <w:t> </w:t>
      </w:r>
      <w:r w:rsidRPr="00475828">
        <w:rPr>
          <w:lang w:val="cs-CZ"/>
        </w:rPr>
        <w:t xml:space="preserve">přenosovou rychlost mobilních sítí. Tomu také odpovídá vývoj </w:t>
      </w:r>
      <w:r w:rsidR="0073696F" w:rsidRPr="00475828">
        <w:rPr>
          <w:lang w:val="cs-CZ"/>
        </w:rPr>
        <w:t xml:space="preserve">mobilních sítí z 2G přes 3G až po 4G během posledních několika let. </w:t>
      </w:r>
      <w:r w:rsidR="005B5FFC" w:rsidRPr="00475828">
        <w:rPr>
          <w:lang w:val="cs-CZ"/>
        </w:rPr>
        <w:t>4G sítě</w:t>
      </w:r>
      <w:r w:rsidR="0073696F" w:rsidRPr="00475828">
        <w:rPr>
          <w:lang w:val="cs-CZ"/>
        </w:rPr>
        <w:t xml:space="preserve"> mají jiné technické parametry než sítě 3G</w:t>
      </w:r>
      <w:r w:rsidR="00C46CCD">
        <w:rPr>
          <w:lang w:val="cs-CZ"/>
        </w:rPr>
        <w:t>,</w:t>
      </w:r>
      <w:r w:rsidR="0073696F" w:rsidRPr="00475828">
        <w:rPr>
          <w:lang w:val="cs-CZ"/>
        </w:rPr>
        <w:t xml:space="preserve"> a</w:t>
      </w:r>
      <w:r w:rsidR="00247FC2">
        <w:rPr>
          <w:lang w:val="cs-CZ"/>
        </w:rPr>
        <w:t> </w:t>
      </w:r>
      <w:r w:rsidR="0073696F" w:rsidRPr="00475828">
        <w:rPr>
          <w:lang w:val="cs-CZ"/>
        </w:rPr>
        <w:t xml:space="preserve">tudíž je do </w:t>
      </w:r>
      <w:r w:rsidR="00C963DC" w:rsidRPr="00475828">
        <w:rPr>
          <w:lang w:val="cs-CZ"/>
        </w:rPr>
        <w:t>stavby</w:t>
      </w:r>
      <w:r w:rsidR="0073696F" w:rsidRPr="00475828">
        <w:rPr>
          <w:lang w:val="cs-CZ"/>
        </w:rPr>
        <w:t xml:space="preserve"> a </w:t>
      </w:r>
      <w:proofErr w:type="spellStart"/>
      <w:r w:rsidR="0073696F" w:rsidRPr="00475828">
        <w:rPr>
          <w:lang w:val="cs-CZ"/>
        </w:rPr>
        <w:t>roll-outu</w:t>
      </w:r>
      <w:proofErr w:type="spellEnd"/>
      <w:r w:rsidR="0073696F" w:rsidRPr="00475828">
        <w:rPr>
          <w:lang w:val="cs-CZ"/>
        </w:rPr>
        <w:t xml:space="preserve"> sítě 4G</w:t>
      </w:r>
      <w:r w:rsidR="00C963DC" w:rsidRPr="00475828">
        <w:rPr>
          <w:lang w:val="cs-CZ"/>
        </w:rPr>
        <w:t xml:space="preserve"> nutná</w:t>
      </w:r>
      <w:r w:rsidR="0073696F" w:rsidRPr="00475828">
        <w:rPr>
          <w:lang w:val="cs-CZ"/>
        </w:rPr>
        <w:t xml:space="preserve"> velk</w:t>
      </w:r>
      <w:r w:rsidR="00C963DC" w:rsidRPr="00475828">
        <w:rPr>
          <w:lang w:val="cs-CZ"/>
        </w:rPr>
        <w:t>á</w:t>
      </w:r>
      <w:r w:rsidR="0073696F" w:rsidRPr="00475828">
        <w:rPr>
          <w:lang w:val="cs-CZ"/>
        </w:rPr>
        <w:t xml:space="preserve"> úvodní investice (CAPEX). Náklady operátorů na </w:t>
      </w:r>
      <w:proofErr w:type="spellStart"/>
      <w:r w:rsidR="0073696F" w:rsidRPr="00475828">
        <w:rPr>
          <w:lang w:val="cs-CZ"/>
        </w:rPr>
        <w:t>roll-out</w:t>
      </w:r>
      <w:proofErr w:type="spellEnd"/>
      <w:r w:rsidR="0073696F" w:rsidRPr="00475828">
        <w:rPr>
          <w:lang w:val="cs-CZ"/>
        </w:rPr>
        <w:t xml:space="preserve"> 4G sítí společně s klesajícími výnosy mobilních operátorů v Evropě v</w:t>
      </w:r>
      <w:r w:rsidR="00247FC2">
        <w:rPr>
          <w:lang w:val="cs-CZ"/>
        </w:rPr>
        <w:t> </w:t>
      </w:r>
      <w:r w:rsidR="0073696F" w:rsidRPr="00475828">
        <w:rPr>
          <w:lang w:val="cs-CZ"/>
        </w:rPr>
        <w:t>posledních letech mění pohled na sdílení sítí.</w:t>
      </w:r>
      <w:r w:rsidR="00C963DC" w:rsidRPr="00475828">
        <w:rPr>
          <w:rStyle w:val="Znakapoznpodarou"/>
          <w:lang w:val="cs-CZ"/>
        </w:rPr>
        <w:footnoteReference w:id="8"/>
      </w:r>
      <w:r w:rsidR="0073696F" w:rsidRPr="00475828">
        <w:rPr>
          <w:lang w:val="cs-CZ"/>
        </w:rPr>
        <w:t xml:space="preserve"> </w:t>
      </w:r>
      <w:r w:rsidR="000A4573" w:rsidRPr="00475828">
        <w:rPr>
          <w:lang w:val="cs-CZ"/>
        </w:rPr>
        <w:t xml:space="preserve">Reakcí na tyto skutečnosti je rozvoj </w:t>
      </w:r>
      <w:r w:rsidR="000A4573" w:rsidRPr="00475828">
        <w:rPr>
          <w:b/>
          <w:lang w:val="cs-CZ"/>
        </w:rPr>
        <w:t>aktivního sdílení</w:t>
      </w:r>
      <w:r w:rsidR="000A4573" w:rsidRPr="00475828">
        <w:rPr>
          <w:lang w:val="cs-CZ"/>
        </w:rPr>
        <w:t xml:space="preserve"> sítí, zejména tzv. </w:t>
      </w:r>
      <w:r w:rsidR="000A4573" w:rsidRPr="00475828">
        <w:rPr>
          <w:b/>
          <w:lang w:val="cs-CZ"/>
        </w:rPr>
        <w:t xml:space="preserve">RAN </w:t>
      </w:r>
      <w:proofErr w:type="spellStart"/>
      <w:r w:rsidR="000A4573" w:rsidRPr="00475828">
        <w:rPr>
          <w:b/>
          <w:lang w:val="cs-CZ"/>
        </w:rPr>
        <w:t>sharingu</w:t>
      </w:r>
      <w:proofErr w:type="spellEnd"/>
      <w:r w:rsidR="000A4573" w:rsidRPr="00475828">
        <w:rPr>
          <w:lang w:val="cs-CZ"/>
        </w:rPr>
        <w:t xml:space="preserve">. </w:t>
      </w:r>
      <w:r w:rsidR="00CE0EB5" w:rsidRPr="00475828">
        <w:rPr>
          <w:lang w:val="cs-CZ"/>
        </w:rPr>
        <w:t xml:space="preserve">Nejčastějším typem RAN </w:t>
      </w:r>
      <w:proofErr w:type="spellStart"/>
      <w:r w:rsidR="00CE0EB5" w:rsidRPr="00475828">
        <w:rPr>
          <w:lang w:val="cs-CZ"/>
        </w:rPr>
        <w:t>sharingu</w:t>
      </w:r>
      <w:proofErr w:type="spellEnd"/>
      <w:r w:rsidR="00CE0EB5" w:rsidRPr="00475828">
        <w:rPr>
          <w:lang w:val="cs-CZ"/>
        </w:rPr>
        <w:t xml:space="preserve"> je MORAN (</w:t>
      </w:r>
      <w:proofErr w:type="spellStart"/>
      <w:r w:rsidR="00CE0EB5" w:rsidRPr="00475828">
        <w:rPr>
          <w:lang w:val="cs-CZ"/>
        </w:rPr>
        <w:t>Multi-Operator</w:t>
      </w:r>
      <w:proofErr w:type="spellEnd"/>
      <w:r w:rsidR="00CE0EB5" w:rsidRPr="00475828">
        <w:rPr>
          <w:lang w:val="cs-CZ"/>
        </w:rPr>
        <w:t xml:space="preserve"> </w:t>
      </w:r>
      <w:proofErr w:type="spellStart"/>
      <w:r w:rsidR="00CE0EB5" w:rsidRPr="00475828">
        <w:rPr>
          <w:lang w:val="cs-CZ"/>
        </w:rPr>
        <w:t>Radio</w:t>
      </w:r>
      <w:proofErr w:type="spellEnd"/>
      <w:r w:rsidR="00CE0EB5" w:rsidRPr="00475828">
        <w:rPr>
          <w:lang w:val="cs-CZ"/>
        </w:rPr>
        <w:t xml:space="preserve"> Access Network). </w:t>
      </w:r>
      <w:r w:rsidR="00BD4136" w:rsidRPr="00475828">
        <w:rPr>
          <w:lang w:val="cs-CZ"/>
        </w:rPr>
        <w:t>Jde o formu</w:t>
      </w:r>
      <w:r w:rsidR="00CE0EB5" w:rsidRPr="00475828">
        <w:rPr>
          <w:lang w:val="cs-CZ"/>
        </w:rPr>
        <w:t xml:space="preserve"> sdílení, při které jsou sdílen</w:t>
      </w:r>
      <w:r w:rsidR="00AA72AB">
        <w:rPr>
          <w:lang w:val="cs-CZ"/>
        </w:rPr>
        <w:t>a</w:t>
      </w:r>
      <w:r w:rsidR="00BD4136" w:rsidRPr="00475828">
        <w:rPr>
          <w:lang w:val="cs-CZ"/>
        </w:rPr>
        <w:t xml:space="preserve"> zejména zařízení pro provoz sítě (například kabeláž, </w:t>
      </w:r>
      <w:proofErr w:type="spellStart"/>
      <w:r w:rsidR="00BD4136" w:rsidRPr="00475828">
        <w:rPr>
          <w:lang w:val="cs-CZ"/>
        </w:rPr>
        <w:t>backhaul</w:t>
      </w:r>
      <w:proofErr w:type="spellEnd"/>
      <w:r w:rsidR="00BD4136" w:rsidRPr="00475828">
        <w:rPr>
          <w:lang w:val="cs-CZ"/>
        </w:rPr>
        <w:t>,</w:t>
      </w:r>
      <w:r w:rsidR="008B0166" w:rsidRPr="00475828">
        <w:rPr>
          <w:lang w:val="cs-CZ"/>
        </w:rPr>
        <w:t xml:space="preserve"> základnové stanice</w:t>
      </w:r>
      <w:r w:rsidR="00BD4136" w:rsidRPr="00475828">
        <w:rPr>
          <w:lang w:val="cs-CZ"/>
        </w:rPr>
        <w:t xml:space="preserve"> </w:t>
      </w:r>
      <w:r w:rsidR="008B0166" w:rsidRPr="00475828">
        <w:rPr>
          <w:lang w:val="cs-CZ"/>
        </w:rPr>
        <w:t>(</w:t>
      </w:r>
      <w:proofErr w:type="spellStart"/>
      <w:r w:rsidR="00BD4136" w:rsidRPr="00475828">
        <w:rPr>
          <w:lang w:val="cs-CZ"/>
        </w:rPr>
        <w:t>NodeB</w:t>
      </w:r>
      <w:proofErr w:type="spellEnd"/>
      <w:r w:rsidR="00BD4136" w:rsidRPr="00475828">
        <w:rPr>
          <w:lang w:val="cs-CZ"/>
        </w:rPr>
        <w:t xml:space="preserve"> nebo BTS</w:t>
      </w:r>
      <w:r w:rsidR="008B0166" w:rsidRPr="00475828">
        <w:rPr>
          <w:lang w:val="cs-CZ"/>
        </w:rPr>
        <w:t>)</w:t>
      </w:r>
      <w:r w:rsidR="00BD4136" w:rsidRPr="00475828">
        <w:rPr>
          <w:lang w:val="cs-CZ"/>
        </w:rPr>
        <w:t>)</w:t>
      </w:r>
      <w:r w:rsidR="00CE0EB5" w:rsidRPr="00475828">
        <w:rPr>
          <w:lang w:val="cs-CZ"/>
        </w:rPr>
        <w:t xml:space="preserve"> a</w:t>
      </w:r>
      <w:r w:rsidR="00247FC2">
        <w:rPr>
          <w:lang w:val="cs-CZ"/>
        </w:rPr>
        <w:t> </w:t>
      </w:r>
      <w:r w:rsidR="00CE0EB5" w:rsidRPr="00475828">
        <w:rPr>
          <w:lang w:val="cs-CZ"/>
        </w:rPr>
        <w:t>stožáry. Provoz s</w:t>
      </w:r>
      <w:r w:rsidR="00BD4136" w:rsidRPr="00475828">
        <w:rPr>
          <w:lang w:val="cs-CZ"/>
        </w:rPr>
        <w:t xml:space="preserve">dílejících operátorů </w:t>
      </w:r>
      <w:r w:rsidR="00CE0EB5" w:rsidRPr="00475828">
        <w:rPr>
          <w:lang w:val="cs-CZ"/>
        </w:rPr>
        <w:t xml:space="preserve">zůstává </w:t>
      </w:r>
      <w:r w:rsidR="00BD4136" w:rsidRPr="00475828">
        <w:rPr>
          <w:lang w:val="cs-CZ"/>
        </w:rPr>
        <w:t>oddělený</w:t>
      </w:r>
      <w:r w:rsidR="00CE0EB5" w:rsidRPr="00475828">
        <w:rPr>
          <w:lang w:val="cs-CZ"/>
        </w:rPr>
        <w:t>.</w:t>
      </w:r>
    </w:p>
    <w:p w14:paraId="2F85041A" w14:textId="77777777" w:rsidR="001A168E" w:rsidRPr="00475828" w:rsidRDefault="001A168E" w:rsidP="00325101">
      <w:pPr>
        <w:keepNext/>
        <w:keepLines/>
        <w:ind w:firstLine="567"/>
        <w:rPr>
          <w:lang w:val="cs-CZ"/>
        </w:rPr>
      </w:pPr>
      <w:r w:rsidRPr="00475828">
        <w:rPr>
          <w:lang w:val="cs-CZ"/>
        </w:rPr>
        <w:t xml:space="preserve">Intenzivní formou sdílení je </w:t>
      </w:r>
      <w:r w:rsidRPr="00475828">
        <w:rPr>
          <w:b/>
          <w:lang w:val="cs-CZ"/>
        </w:rPr>
        <w:t>sdílení rádiového spektra</w:t>
      </w:r>
      <w:r w:rsidR="00B22F74" w:rsidRPr="00475828">
        <w:rPr>
          <w:lang w:val="cs-CZ"/>
        </w:rPr>
        <w:t xml:space="preserve"> (</w:t>
      </w:r>
      <w:proofErr w:type="spellStart"/>
      <w:r w:rsidR="00B22F74" w:rsidRPr="00475828">
        <w:rPr>
          <w:lang w:val="cs-CZ"/>
        </w:rPr>
        <w:t>spectrum</w:t>
      </w:r>
      <w:proofErr w:type="spellEnd"/>
      <w:r w:rsidR="00B22F74" w:rsidRPr="00475828">
        <w:rPr>
          <w:lang w:val="cs-CZ"/>
        </w:rPr>
        <w:t xml:space="preserve"> </w:t>
      </w:r>
      <w:proofErr w:type="spellStart"/>
      <w:r w:rsidR="00B22F74" w:rsidRPr="00475828">
        <w:rPr>
          <w:lang w:val="cs-CZ"/>
        </w:rPr>
        <w:t>pooling</w:t>
      </w:r>
      <w:proofErr w:type="spellEnd"/>
      <w:r w:rsidR="00B22F74" w:rsidRPr="00475828">
        <w:rPr>
          <w:lang w:val="cs-CZ"/>
        </w:rPr>
        <w:t>)</w:t>
      </w:r>
      <w:r w:rsidRPr="00475828">
        <w:rPr>
          <w:lang w:val="cs-CZ"/>
        </w:rPr>
        <w:t>, tedy situace, kdy jeden příděl v určitém kmitočtovém pásmu využívá více operátorů – zde jsou nicméně v řadě zemí zavedena omezení bránící takovému sdílení</w:t>
      </w:r>
      <w:r w:rsidR="008B0166" w:rsidRPr="00475828">
        <w:rPr>
          <w:lang w:val="cs-CZ"/>
        </w:rPr>
        <w:t>,</w:t>
      </w:r>
      <w:r w:rsidRPr="00475828">
        <w:rPr>
          <w:lang w:val="cs-CZ"/>
        </w:rPr>
        <w:t xml:space="preserve"> </w:t>
      </w:r>
      <w:r w:rsidR="00B22F74" w:rsidRPr="00475828">
        <w:rPr>
          <w:lang w:val="cs-CZ"/>
        </w:rPr>
        <w:t>v mnoha zemích podléhá předchozímu schválení regulátorem.</w:t>
      </w:r>
    </w:p>
    <w:p w14:paraId="1CFB3203" w14:textId="77777777" w:rsidR="006C54C6" w:rsidRPr="00475828" w:rsidRDefault="006C54C6" w:rsidP="00325101">
      <w:pPr>
        <w:keepNext/>
        <w:keepLines/>
        <w:ind w:firstLine="567"/>
        <w:rPr>
          <w:lang w:val="cs-CZ"/>
        </w:rPr>
      </w:pPr>
      <w:r w:rsidRPr="00475828">
        <w:rPr>
          <w:lang w:val="cs-CZ"/>
        </w:rPr>
        <w:t xml:space="preserve">Mezi modely sdílení lze také řadit </w:t>
      </w:r>
      <w:r w:rsidR="00B22F74" w:rsidRPr="00475828">
        <w:rPr>
          <w:lang w:val="cs-CZ"/>
        </w:rPr>
        <w:t xml:space="preserve">poskytování </w:t>
      </w:r>
      <w:r w:rsidR="00B22F74" w:rsidRPr="00475828">
        <w:rPr>
          <w:b/>
          <w:lang w:val="cs-CZ"/>
        </w:rPr>
        <w:t>národního roamingu</w:t>
      </w:r>
      <w:r w:rsidR="001A7FEE" w:rsidRPr="00475828">
        <w:rPr>
          <w:lang w:val="cs-CZ"/>
        </w:rPr>
        <w:t>;</w:t>
      </w:r>
      <w:r w:rsidR="00B22F74" w:rsidRPr="00475828">
        <w:rPr>
          <w:lang w:val="cs-CZ"/>
        </w:rPr>
        <w:t xml:space="preserve"> v tomto případě </w:t>
      </w:r>
      <w:r w:rsidR="007212BB" w:rsidRPr="00475828">
        <w:rPr>
          <w:lang w:val="cs-CZ"/>
        </w:rPr>
        <w:t>není provoz obou operátorů oddělený</w:t>
      </w:r>
      <w:r w:rsidR="00EB4754">
        <w:rPr>
          <w:lang w:val="cs-CZ"/>
        </w:rPr>
        <w:t xml:space="preserve">, </w:t>
      </w:r>
      <w:r w:rsidR="007212BB" w:rsidRPr="00475828">
        <w:rPr>
          <w:lang w:val="cs-CZ"/>
        </w:rPr>
        <w:t>protože jeden operátor umožní jinému operátorovi na</w:t>
      </w:r>
      <w:r w:rsidR="005B6DAB">
        <w:rPr>
          <w:lang w:val="cs-CZ"/>
        </w:rPr>
        <w:t> </w:t>
      </w:r>
      <w:r w:rsidR="007212BB" w:rsidRPr="00475828">
        <w:rPr>
          <w:lang w:val="cs-CZ"/>
        </w:rPr>
        <w:t>základě</w:t>
      </w:r>
      <w:r w:rsidR="00A5230F">
        <w:rPr>
          <w:lang w:val="cs-CZ"/>
        </w:rPr>
        <w:t xml:space="preserve"> roamingové</w:t>
      </w:r>
      <w:r w:rsidR="007212BB" w:rsidRPr="00475828">
        <w:rPr>
          <w:lang w:val="cs-CZ"/>
        </w:rPr>
        <w:t xml:space="preserve"> smlouvy přístup k vlastní síti </w:t>
      </w:r>
      <w:r w:rsidR="00A5230F">
        <w:rPr>
          <w:lang w:val="cs-CZ"/>
        </w:rPr>
        <w:t xml:space="preserve">koncovým účastníkům </w:t>
      </w:r>
      <w:r w:rsidR="00A5230F" w:rsidRPr="00475828">
        <w:rPr>
          <w:lang w:val="cs-CZ"/>
        </w:rPr>
        <w:t>jiné</w:t>
      </w:r>
      <w:r w:rsidR="00A5230F">
        <w:rPr>
          <w:lang w:val="cs-CZ"/>
        </w:rPr>
        <w:t>ho</w:t>
      </w:r>
      <w:r w:rsidR="00A5230F" w:rsidRPr="00475828">
        <w:rPr>
          <w:lang w:val="cs-CZ"/>
        </w:rPr>
        <w:t xml:space="preserve"> operátor</w:t>
      </w:r>
      <w:r w:rsidR="00A5230F">
        <w:rPr>
          <w:lang w:val="cs-CZ"/>
        </w:rPr>
        <w:t>a</w:t>
      </w:r>
      <w:r w:rsidR="007212BB" w:rsidRPr="00475828">
        <w:rPr>
          <w:lang w:val="cs-CZ"/>
        </w:rPr>
        <w:t>, který tak může zvýšit geografické pokrytí pro své služby pomocí sítě, kterou neprovozuje.</w:t>
      </w:r>
    </w:p>
    <w:p w14:paraId="6BBA6B63" w14:textId="4D076D8B" w:rsidR="00093A27" w:rsidRPr="00475828" w:rsidRDefault="007212BB" w:rsidP="00DF4E36">
      <w:pPr>
        <w:keepLines/>
        <w:ind w:firstLine="567"/>
        <w:rPr>
          <w:lang w:val="cs-CZ"/>
        </w:rPr>
      </w:pPr>
      <w:r w:rsidRPr="00475828">
        <w:rPr>
          <w:lang w:val="cs-CZ"/>
        </w:rPr>
        <w:lastRenderedPageBreak/>
        <w:t>Obecně lze konstatovat, že m</w:t>
      </w:r>
      <w:r w:rsidR="00040912" w:rsidRPr="00475828">
        <w:rPr>
          <w:lang w:val="cs-CZ"/>
        </w:rPr>
        <w:t>ezi operátory</w:t>
      </w:r>
      <w:r w:rsidR="00D35D15">
        <w:rPr>
          <w:lang w:val="cs-CZ"/>
        </w:rPr>
        <w:t xml:space="preserve"> se</w:t>
      </w:r>
      <w:r w:rsidR="00040912" w:rsidRPr="00475828">
        <w:rPr>
          <w:lang w:val="cs-CZ"/>
        </w:rPr>
        <w:t xml:space="preserve"> stále větší intenzitou dochází ke sdílení sítí </w:t>
      </w:r>
      <w:r w:rsidR="00B22F74" w:rsidRPr="00475828">
        <w:rPr>
          <w:lang w:val="cs-CZ"/>
        </w:rPr>
        <w:t xml:space="preserve">či k různým obdobným formám spolupráce </w:t>
      </w:r>
      <w:r w:rsidR="00040912" w:rsidRPr="00475828">
        <w:rPr>
          <w:lang w:val="cs-CZ"/>
        </w:rPr>
        <w:t xml:space="preserve">na základě horizontálních dohod. </w:t>
      </w:r>
      <w:proofErr w:type="spellStart"/>
      <w:r w:rsidR="00040912" w:rsidRPr="00475828">
        <w:rPr>
          <w:lang w:val="cs-CZ"/>
        </w:rPr>
        <w:t>Benchmark</w:t>
      </w:r>
      <w:proofErr w:type="spellEnd"/>
      <w:r w:rsidR="00040912" w:rsidRPr="00475828">
        <w:rPr>
          <w:lang w:val="cs-CZ"/>
        </w:rPr>
        <w:t xml:space="preserve"> v kapitole 2 ukazuje, že toto řešení reagující na zvyšující se nároky na kapacitu sítě a obecně na kvalitu poskytovaných služeb je </w:t>
      </w:r>
      <w:r w:rsidR="00B800CE" w:rsidRPr="00475828">
        <w:rPr>
          <w:lang w:val="cs-CZ"/>
        </w:rPr>
        <w:t xml:space="preserve">zejména v posledních letech </w:t>
      </w:r>
      <w:r w:rsidR="00040912" w:rsidRPr="00475828">
        <w:rPr>
          <w:lang w:val="cs-CZ"/>
        </w:rPr>
        <w:t>v zemích Evropské unie</w:t>
      </w:r>
      <w:r w:rsidR="00AA72AB">
        <w:rPr>
          <w:lang w:val="cs-CZ"/>
        </w:rPr>
        <w:t xml:space="preserve"> </w:t>
      </w:r>
      <w:r w:rsidR="00AA72AB" w:rsidRPr="00475828">
        <w:rPr>
          <w:lang w:val="cs-CZ"/>
        </w:rPr>
        <w:t>častěji</w:t>
      </w:r>
      <w:r w:rsidR="00040912" w:rsidRPr="00475828">
        <w:rPr>
          <w:lang w:val="cs-CZ"/>
        </w:rPr>
        <w:t xml:space="preserve"> využíváno</w:t>
      </w:r>
      <w:r w:rsidR="00B22F74" w:rsidRPr="00475828">
        <w:rPr>
          <w:lang w:val="cs-CZ"/>
        </w:rPr>
        <w:t xml:space="preserve">, a to zejména ve formě RAN </w:t>
      </w:r>
      <w:proofErr w:type="spellStart"/>
      <w:r w:rsidR="00B22F74" w:rsidRPr="00475828">
        <w:rPr>
          <w:lang w:val="cs-CZ"/>
        </w:rPr>
        <w:t>sharingu</w:t>
      </w:r>
      <w:proofErr w:type="spellEnd"/>
      <w:r w:rsidR="00040912" w:rsidRPr="00475828">
        <w:rPr>
          <w:lang w:val="cs-CZ"/>
        </w:rPr>
        <w:t>. Nejde nicméně o jev omezený jen na území Evropy, podobné dohody jsou uzavírány i v Afric</w:t>
      </w:r>
      <w:r w:rsidR="00B800CE" w:rsidRPr="00475828">
        <w:rPr>
          <w:lang w:val="cs-CZ"/>
        </w:rPr>
        <w:t>e, jihovýchodní Asii či Americe.</w:t>
      </w:r>
    </w:p>
    <w:p w14:paraId="69B6AE0C" w14:textId="01D73C3D" w:rsidR="00B800CE" w:rsidRPr="00475828" w:rsidRDefault="00B800CE" w:rsidP="00DF4E36">
      <w:pPr>
        <w:keepLines/>
        <w:ind w:firstLine="567"/>
        <w:rPr>
          <w:lang w:val="cs-CZ"/>
        </w:rPr>
      </w:pPr>
      <w:r w:rsidRPr="00475828">
        <w:rPr>
          <w:lang w:val="cs-CZ"/>
        </w:rPr>
        <w:t xml:space="preserve">Stejně tak na telekomunikačních trzích dochází k intenzivnější konsolidaci poskytovatelů služeb elektronických komunikací: posledních několik let je poznamenáno </w:t>
      </w:r>
      <w:r w:rsidR="009A0CDA" w:rsidRPr="00475828">
        <w:rPr>
          <w:lang w:val="cs-CZ"/>
        </w:rPr>
        <w:t>řadou velkých akvizic čí fúzí telekomunikačních společností. Tento trend je dokonce provázen tlakem některých evropských politiků na zmírnění soutěžně</w:t>
      </w:r>
      <w:r w:rsidR="008B02BF">
        <w:rPr>
          <w:lang w:val="cs-CZ"/>
        </w:rPr>
        <w:t>-</w:t>
      </w:r>
      <w:r w:rsidR="009A0CDA" w:rsidRPr="00475828">
        <w:rPr>
          <w:lang w:val="cs-CZ"/>
        </w:rPr>
        <w:t>právních pravidel pro spojování pod</w:t>
      </w:r>
      <w:r w:rsidR="006C54C6" w:rsidRPr="00475828">
        <w:rPr>
          <w:lang w:val="cs-CZ"/>
        </w:rPr>
        <w:t>ni</w:t>
      </w:r>
      <w:r w:rsidR="009A0CDA" w:rsidRPr="00475828">
        <w:rPr>
          <w:lang w:val="cs-CZ"/>
        </w:rPr>
        <w:t>ků v</w:t>
      </w:r>
      <w:r w:rsidR="00247FC2">
        <w:rPr>
          <w:lang w:val="cs-CZ"/>
        </w:rPr>
        <w:t> </w:t>
      </w:r>
      <w:r w:rsidR="009A0CDA" w:rsidRPr="00475828">
        <w:rPr>
          <w:lang w:val="cs-CZ"/>
        </w:rPr>
        <w:t>telekomunikačním sektoru; takovým tlakům nicméně Evropská komise zatím odmítá vyhovět.</w:t>
      </w:r>
      <w:r w:rsidR="009A0CDA" w:rsidRPr="00475828">
        <w:rPr>
          <w:rStyle w:val="Znakapoznpodarou"/>
          <w:lang w:val="cs-CZ"/>
        </w:rPr>
        <w:footnoteReference w:id="9"/>
      </w:r>
    </w:p>
    <w:p w14:paraId="203FF095" w14:textId="77777777" w:rsidR="006C54C6" w:rsidRPr="00475828" w:rsidRDefault="007212BB" w:rsidP="00DF4E36">
      <w:pPr>
        <w:keepLines/>
        <w:ind w:firstLine="567"/>
        <w:rPr>
          <w:lang w:val="cs-CZ"/>
        </w:rPr>
      </w:pPr>
      <w:r w:rsidRPr="00475828">
        <w:rPr>
          <w:lang w:val="cs-CZ"/>
        </w:rPr>
        <w:t>Statistika ukazuje, že mezi operátory v Evropě dochází zejména k</w:t>
      </w:r>
      <w:r w:rsidR="001D143B">
        <w:rPr>
          <w:lang w:val="cs-CZ"/>
        </w:rPr>
        <w:t>e</w:t>
      </w:r>
      <w:r w:rsidRPr="00475828">
        <w:rPr>
          <w:lang w:val="cs-CZ"/>
        </w:rPr>
        <w:t xml:space="preserve"> sdílení pasivní infrastruktury (36 %) a RAN </w:t>
      </w:r>
      <w:proofErr w:type="spellStart"/>
      <w:r w:rsidRPr="00475828">
        <w:rPr>
          <w:lang w:val="cs-CZ"/>
        </w:rPr>
        <w:t>sharingu</w:t>
      </w:r>
      <w:proofErr w:type="spellEnd"/>
      <w:r w:rsidRPr="00475828">
        <w:rPr>
          <w:lang w:val="cs-CZ"/>
        </w:rPr>
        <w:t xml:space="preserve"> (36 %), dále ke sdílení spektra (16 %), </w:t>
      </w:r>
      <w:proofErr w:type="spellStart"/>
      <w:r w:rsidRPr="00475828">
        <w:rPr>
          <w:lang w:val="cs-CZ"/>
        </w:rPr>
        <w:t>core</w:t>
      </w:r>
      <w:proofErr w:type="spellEnd"/>
      <w:r w:rsidRPr="00475828">
        <w:rPr>
          <w:lang w:val="cs-CZ"/>
        </w:rPr>
        <w:t xml:space="preserve"> </w:t>
      </w:r>
      <w:proofErr w:type="spellStart"/>
      <w:r w:rsidRPr="00475828">
        <w:rPr>
          <w:lang w:val="cs-CZ"/>
        </w:rPr>
        <w:t>sharingu</w:t>
      </w:r>
      <w:proofErr w:type="spellEnd"/>
      <w:r w:rsidRPr="00475828">
        <w:rPr>
          <w:lang w:val="cs-CZ"/>
        </w:rPr>
        <w:t xml:space="preserve"> (11</w:t>
      </w:r>
      <w:r w:rsidR="005B6DAB">
        <w:rPr>
          <w:lang w:val="cs-CZ"/>
        </w:rPr>
        <w:t> </w:t>
      </w:r>
      <w:r w:rsidRPr="00475828">
        <w:rPr>
          <w:lang w:val="cs-CZ"/>
        </w:rPr>
        <w:t>%) a národnímu roamingu (3 %).</w:t>
      </w:r>
      <w:r w:rsidRPr="00475828">
        <w:rPr>
          <w:rStyle w:val="Znakapoznpodarou"/>
          <w:lang w:val="cs-CZ"/>
        </w:rPr>
        <w:footnoteReference w:id="10"/>
      </w:r>
    </w:p>
    <w:p w14:paraId="4FFD3F06" w14:textId="77777777" w:rsidR="003C772A" w:rsidRPr="00475828" w:rsidRDefault="00EC1E80" w:rsidP="00DF4E36">
      <w:pPr>
        <w:pStyle w:val="Nadpis2"/>
        <w:keepNext w:val="0"/>
        <w:keepLines/>
        <w:numPr>
          <w:ilvl w:val="1"/>
          <w:numId w:val="3"/>
        </w:numPr>
      </w:pPr>
      <w:bookmarkStart w:id="93" w:name="_Toc301423667"/>
      <w:r w:rsidRPr="00475828">
        <w:t>Dělení dle charakteru sdílené infrastruktury (a</w:t>
      </w:r>
      <w:r w:rsidR="003C772A" w:rsidRPr="00475828">
        <w:t>ktivní a pasivní</w:t>
      </w:r>
      <w:r w:rsidRPr="00475828">
        <w:t>)</w:t>
      </w:r>
      <w:bookmarkEnd w:id="93"/>
    </w:p>
    <w:tbl>
      <w:tblPr>
        <w:tblStyle w:val="Mkatabulky"/>
        <w:tblW w:w="0" w:type="auto"/>
        <w:tblLook w:val="04A0" w:firstRow="1" w:lastRow="0" w:firstColumn="1" w:lastColumn="0" w:noHBand="0" w:noVBand="1"/>
      </w:tblPr>
      <w:tblGrid>
        <w:gridCol w:w="2918"/>
        <w:gridCol w:w="5480"/>
      </w:tblGrid>
      <w:tr w:rsidR="00E3489D" w:rsidRPr="00475828" w14:paraId="18D46DB4" w14:textId="77777777" w:rsidTr="0013350B">
        <w:tc>
          <w:tcPr>
            <w:tcW w:w="2943" w:type="dxa"/>
            <w:shd w:val="clear" w:color="auto" w:fill="31849B" w:themeFill="accent5" w:themeFillShade="BF"/>
          </w:tcPr>
          <w:p w14:paraId="41679A2D" w14:textId="77777777" w:rsidR="00E3489D" w:rsidRPr="00475828" w:rsidRDefault="00E3489D" w:rsidP="00DF4E36">
            <w:pPr>
              <w:keepLines/>
              <w:rPr>
                <w:b/>
                <w:lang w:val="cs-CZ"/>
              </w:rPr>
            </w:pPr>
            <w:r w:rsidRPr="00475828">
              <w:rPr>
                <w:b/>
                <w:lang w:val="cs-CZ"/>
              </w:rPr>
              <w:t>Model sdílení</w:t>
            </w:r>
          </w:p>
        </w:tc>
        <w:tc>
          <w:tcPr>
            <w:tcW w:w="5529" w:type="dxa"/>
            <w:shd w:val="clear" w:color="auto" w:fill="31849B" w:themeFill="accent5" w:themeFillShade="BF"/>
          </w:tcPr>
          <w:p w14:paraId="3E9297C0" w14:textId="77777777" w:rsidR="00E3489D" w:rsidRPr="00475828" w:rsidRDefault="00E3489D" w:rsidP="00DF4E36">
            <w:pPr>
              <w:keepLines/>
              <w:rPr>
                <w:b/>
                <w:lang w:val="cs-CZ"/>
              </w:rPr>
            </w:pPr>
            <w:r w:rsidRPr="00475828">
              <w:rPr>
                <w:b/>
                <w:lang w:val="cs-CZ"/>
              </w:rPr>
              <w:t>Poznámka</w:t>
            </w:r>
          </w:p>
        </w:tc>
      </w:tr>
      <w:tr w:rsidR="003C772A" w:rsidRPr="00843D00" w14:paraId="3948B5AD" w14:textId="77777777" w:rsidTr="0013350B">
        <w:tc>
          <w:tcPr>
            <w:tcW w:w="2943" w:type="dxa"/>
            <w:shd w:val="clear" w:color="auto" w:fill="BFBFBF" w:themeFill="background1" w:themeFillShade="BF"/>
          </w:tcPr>
          <w:p w14:paraId="28815AC6" w14:textId="77777777" w:rsidR="003C772A" w:rsidRPr="00475828" w:rsidRDefault="003C772A" w:rsidP="00DF4E36">
            <w:pPr>
              <w:keepLines/>
              <w:rPr>
                <w:lang w:val="cs-CZ"/>
              </w:rPr>
            </w:pPr>
            <w:r w:rsidRPr="00475828">
              <w:rPr>
                <w:lang w:val="cs-CZ"/>
              </w:rPr>
              <w:lastRenderedPageBreak/>
              <w:t xml:space="preserve">Pasivní sdílení </w:t>
            </w:r>
          </w:p>
        </w:tc>
        <w:tc>
          <w:tcPr>
            <w:tcW w:w="5529" w:type="dxa"/>
            <w:shd w:val="clear" w:color="auto" w:fill="BFBFBF" w:themeFill="background1" w:themeFillShade="BF"/>
          </w:tcPr>
          <w:p w14:paraId="0584233E" w14:textId="77777777" w:rsidR="003C772A" w:rsidRPr="00475828" w:rsidRDefault="003C772A" w:rsidP="00DF4E36">
            <w:pPr>
              <w:keepLines/>
              <w:rPr>
                <w:lang w:val="cs-CZ"/>
              </w:rPr>
            </w:pPr>
            <w:r w:rsidRPr="00475828">
              <w:rPr>
                <w:lang w:val="cs-CZ"/>
              </w:rPr>
              <w:t xml:space="preserve">Zahrnuje sdílení </w:t>
            </w:r>
            <w:r w:rsidR="003A7631" w:rsidRPr="00475828">
              <w:rPr>
                <w:lang w:val="cs-CZ"/>
              </w:rPr>
              <w:t xml:space="preserve">pasivních prvků síťové </w:t>
            </w:r>
            <w:r w:rsidRPr="00475828">
              <w:rPr>
                <w:lang w:val="cs-CZ"/>
              </w:rPr>
              <w:t>infrastruktury</w:t>
            </w:r>
            <w:r w:rsidR="003A7631" w:rsidRPr="00475828">
              <w:rPr>
                <w:lang w:val="cs-CZ"/>
              </w:rPr>
              <w:t>, které plní podpůrnou úlohu</w:t>
            </w:r>
            <w:r w:rsidRPr="00475828">
              <w:rPr>
                <w:lang w:val="cs-CZ"/>
              </w:rPr>
              <w:t xml:space="preserve"> </w:t>
            </w:r>
            <w:r w:rsidR="003A7631" w:rsidRPr="00475828">
              <w:rPr>
                <w:lang w:val="cs-CZ"/>
              </w:rPr>
              <w:t xml:space="preserve">(lokality, </w:t>
            </w:r>
            <w:r w:rsidRPr="00475828">
              <w:rPr>
                <w:lang w:val="cs-CZ"/>
              </w:rPr>
              <w:t>stožáry,</w:t>
            </w:r>
            <w:r w:rsidR="00E3489D" w:rsidRPr="00475828">
              <w:rPr>
                <w:lang w:val="cs-CZ"/>
              </w:rPr>
              <w:t xml:space="preserve"> </w:t>
            </w:r>
            <w:r w:rsidR="00C5047A" w:rsidRPr="00475828">
              <w:rPr>
                <w:lang w:val="cs-CZ"/>
              </w:rPr>
              <w:t>střechy</w:t>
            </w:r>
            <w:r w:rsidR="00E3489D" w:rsidRPr="00475828">
              <w:rPr>
                <w:lang w:val="cs-CZ"/>
              </w:rPr>
              <w:t>,</w:t>
            </w:r>
            <w:r w:rsidRPr="00475828">
              <w:rPr>
                <w:lang w:val="cs-CZ"/>
              </w:rPr>
              <w:t xml:space="preserve"> optické spoje, </w:t>
            </w:r>
            <w:r w:rsidR="003A7631" w:rsidRPr="00475828">
              <w:rPr>
                <w:lang w:val="cs-CZ"/>
              </w:rPr>
              <w:t>zdroje napájení, klimatizace</w:t>
            </w:r>
            <w:r w:rsidRPr="00475828">
              <w:rPr>
                <w:lang w:val="cs-CZ"/>
              </w:rPr>
              <w:t>, kontejnery</w:t>
            </w:r>
            <w:r w:rsidR="003A7631" w:rsidRPr="00475828">
              <w:rPr>
                <w:lang w:val="cs-CZ"/>
              </w:rPr>
              <w:t xml:space="preserve"> a kabinety</w:t>
            </w:r>
            <w:r w:rsidRPr="00475828">
              <w:rPr>
                <w:lang w:val="cs-CZ"/>
              </w:rPr>
              <w:t xml:space="preserve"> </w:t>
            </w:r>
            <w:r w:rsidR="00E3489D" w:rsidRPr="00475828">
              <w:rPr>
                <w:lang w:val="cs-CZ"/>
              </w:rPr>
              <w:t>a</w:t>
            </w:r>
            <w:r w:rsidR="00247FC2">
              <w:rPr>
                <w:lang w:val="cs-CZ"/>
              </w:rPr>
              <w:t> </w:t>
            </w:r>
            <w:r w:rsidR="00E3489D" w:rsidRPr="00475828">
              <w:rPr>
                <w:lang w:val="cs-CZ"/>
              </w:rPr>
              <w:t>další</w:t>
            </w:r>
            <w:r w:rsidR="003A7631" w:rsidRPr="00475828">
              <w:rPr>
                <w:lang w:val="cs-CZ"/>
              </w:rPr>
              <w:t xml:space="preserve">). </w:t>
            </w:r>
          </w:p>
        </w:tc>
      </w:tr>
      <w:tr w:rsidR="003C772A" w:rsidRPr="00843D00" w14:paraId="0EAF966E" w14:textId="77777777" w:rsidTr="0013350B">
        <w:tc>
          <w:tcPr>
            <w:tcW w:w="2943" w:type="dxa"/>
            <w:shd w:val="clear" w:color="auto" w:fill="B6DDE8" w:themeFill="accent5" w:themeFillTint="66"/>
          </w:tcPr>
          <w:p w14:paraId="356E7182" w14:textId="77777777" w:rsidR="003C772A" w:rsidRPr="00475828" w:rsidRDefault="003C772A" w:rsidP="00DF4E36">
            <w:pPr>
              <w:keepLines/>
              <w:rPr>
                <w:lang w:val="cs-CZ"/>
              </w:rPr>
            </w:pPr>
            <w:r w:rsidRPr="00475828">
              <w:rPr>
                <w:lang w:val="cs-CZ"/>
              </w:rPr>
              <w:t xml:space="preserve">Aktivní sdílení </w:t>
            </w:r>
          </w:p>
        </w:tc>
        <w:tc>
          <w:tcPr>
            <w:tcW w:w="5529" w:type="dxa"/>
            <w:shd w:val="clear" w:color="auto" w:fill="B6DDE8" w:themeFill="accent5" w:themeFillTint="66"/>
          </w:tcPr>
          <w:p w14:paraId="690562E3" w14:textId="77777777" w:rsidR="003C772A" w:rsidRPr="00475828" w:rsidRDefault="003A7631" w:rsidP="00DF4E36">
            <w:pPr>
              <w:keepLines/>
              <w:rPr>
                <w:lang w:val="cs-CZ"/>
              </w:rPr>
            </w:pPr>
            <w:r w:rsidRPr="00475828">
              <w:rPr>
                <w:lang w:val="cs-CZ"/>
              </w:rPr>
              <w:t>Zahrnuje sdílení aktivních prvků sítě, které se podílejí na vysílání rádiového signálu (v</w:t>
            </w:r>
            <w:r w:rsidR="003C772A" w:rsidRPr="00475828">
              <w:rPr>
                <w:lang w:val="cs-CZ"/>
              </w:rPr>
              <w:t xml:space="preserve">ysílače, </w:t>
            </w:r>
            <w:r w:rsidR="00A5230F">
              <w:rPr>
                <w:lang w:val="cs-CZ"/>
              </w:rPr>
              <w:t>přijímače,</w:t>
            </w:r>
            <w:r w:rsidR="001A04FB">
              <w:rPr>
                <w:lang w:val="cs-CZ"/>
              </w:rPr>
              <w:t xml:space="preserve"> </w:t>
            </w:r>
            <w:r w:rsidR="00E3489D" w:rsidRPr="00475828">
              <w:rPr>
                <w:lang w:val="cs-CZ"/>
              </w:rPr>
              <w:t xml:space="preserve">antény </w:t>
            </w:r>
            <w:r w:rsidRPr="00475828">
              <w:rPr>
                <w:lang w:val="cs-CZ"/>
              </w:rPr>
              <w:t>základnové stanice (</w:t>
            </w:r>
            <w:r w:rsidR="00E3489D" w:rsidRPr="00475828">
              <w:rPr>
                <w:lang w:val="cs-CZ"/>
              </w:rPr>
              <w:t>BTS, Node B,</w:t>
            </w:r>
            <w:r w:rsidRPr="00475828">
              <w:rPr>
                <w:lang w:val="cs-CZ"/>
              </w:rPr>
              <w:t xml:space="preserve"> </w:t>
            </w:r>
            <w:proofErr w:type="spellStart"/>
            <w:r w:rsidRPr="00475828">
              <w:rPr>
                <w:lang w:val="cs-CZ"/>
              </w:rPr>
              <w:t>eNode</w:t>
            </w:r>
            <w:proofErr w:type="spellEnd"/>
            <w:r w:rsidRPr="00475828">
              <w:rPr>
                <w:lang w:val="cs-CZ"/>
              </w:rPr>
              <w:t xml:space="preserve"> B),</w:t>
            </w:r>
            <w:r w:rsidR="00E3489D" w:rsidRPr="00475828">
              <w:rPr>
                <w:lang w:val="cs-CZ"/>
              </w:rPr>
              <w:t xml:space="preserve"> řídící jednotky radiové sítě (</w:t>
            </w:r>
            <w:proofErr w:type="spellStart"/>
            <w:r w:rsidR="00E3489D" w:rsidRPr="00475828">
              <w:rPr>
                <w:lang w:val="cs-CZ"/>
              </w:rPr>
              <w:t>RNCs</w:t>
            </w:r>
            <w:proofErr w:type="spellEnd"/>
            <w:r w:rsidR="00E3489D" w:rsidRPr="00475828">
              <w:rPr>
                <w:lang w:val="cs-CZ"/>
              </w:rPr>
              <w:t>) a další</w:t>
            </w:r>
            <w:r w:rsidRPr="00475828">
              <w:rPr>
                <w:lang w:val="cs-CZ"/>
              </w:rPr>
              <w:t>).</w:t>
            </w:r>
            <w:r w:rsidR="00E3489D" w:rsidRPr="00475828">
              <w:rPr>
                <w:lang w:val="cs-CZ"/>
              </w:rPr>
              <w:t xml:space="preserve"> </w:t>
            </w:r>
          </w:p>
        </w:tc>
      </w:tr>
    </w:tbl>
    <w:p w14:paraId="012AA606" w14:textId="77777777" w:rsidR="003C772A" w:rsidRPr="00475828" w:rsidRDefault="00E3489D" w:rsidP="00DF4E36">
      <w:pPr>
        <w:pStyle w:val="Nadpis2"/>
        <w:keepNext w:val="0"/>
        <w:keepLines/>
        <w:numPr>
          <w:ilvl w:val="1"/>
          <w:numId w:val="3"/>
        </w:numPr>
      </w:pPr>
      <w:bookmarkStart w:id="94" w:name="_Toc301423668"/>
      <w:r w:rsidRPr="00475828">
        <w:t>Dělení dle rozsahu sdílené sítě</w:t>
      </w:r>
      <w:bookmarkEnd w:id="94"/>
      <w:r w:rsidRPr="00475828">
        <w:t xml:space="preserve"> </w:t>
      </w:r>
    </w:p>
    <w:tbl>
      <w:tblPr>
        <w:tblStyle w:val="Mkatabulky"/>
        <w:tblW w:w="0" w:type="auto"/>
        <w:tblLook w:val="04A0" w:firstRow="1" w:lastRow="0" w:firstColumn="1" w:lastColumn="0" w:noHBand="0" w:noVBand="1"/>
      </w:tblPr>
      <w:tblGrid>
        <w:gridCol w:w="2919"/>
        <w:gridCol w:w="5479"/>
      </w:tblGrid>
      <w:tr w:rsidR="003C772A" w:rsidRPr="00475828" w14:paraId="204F262E" w14:textId="77777777" w:rsidTr="0013350B">
        <w:trPr>
          <w:trHeight w:val="540"/>
        </w:trPr>
        <w:tc>
          <w:tcPr>
            <w:tcW w:w="2943" w:type="dxa"/>
            <w:shd w:val="clear" w:color="auto" w:fill="4BACC6" w:themeFill="accent5"/>
          </w:tcPr>
          <w:p w14:paraId="5C2FE029" w14:textId="77777777" w:rsidR="003C772A" w:rsidRPr="00475828" w:rsidRDefault="003C772A" w:rsidP="00DF4E36">
            <w:pPr>
              <w:keepLines/>
              <w:rPr>
                <w:b/>
                <w:lang w:val="cs-CZ"/>
              </w:rPr>
            </w:pPr>
            <w:r w:rsidRPr="00475828">
              <w:rPr>
                <w:b/>
                <w:lang w:val="cs-CZ"/>
              </w:rPr>
              <w:t>Model sdílení</w:t>
            </w:r>
          </w:p>
        </w:tc>
        <w:tc>
          <w:tcPr>
            <w:tcW w:w="5529" w:type="dxa"/>
            <w:shd w:val="clear" w:color="auto" w:fill="4BACC6" w:themeFill="accent5"/>
          </w:tcPr>
          <w:p w14:paraId="33B776A3" w14:textId="77777777" w:rsidR="003C772A" w:rsidRPr="00475828" w:rsidRDefault="003C772A" w:rsidP="00DF4E36">
            <w:pPr>
              <w:keepLines/>
              <w:rPr>
                <w:b/>
                <w:lang w:val="cs-CZ"/>
              </w:rPr>
            </w:pPr>
            <w:r w:rsidRPr="00475828">
              <w:rPr>
                <w:b/>
                <w:lang w:val="cs-CZ"/>
              </w:rPr>
              <w:t>Poznámka</w:t>
            </w:r>
          </w:p>
        </w:tc>
      </w:tr>
      <w:tr w:rsidR="003C772A" w:rsidRPr="00475828" w14:paraId="30AE97EB" w14:textId="77777777" w:rsidTr="0013350B">
        <w:trPr>
          <w:trHeight w:val="540"/>
        </w:trPr>
        <w:tc>
          <w:tcPr>
            <w:tcW w:w="2943" w:type="dxa"/>
            <w:shd w:val="clear" w:color="auto" w:fill="D9D9D9" w:themeFill="background1" w:themeFillShade="D9"/>
          </w:tcPr>
          <w:p w14:paraId="177879D2" w14:textId="77777777" w:rsidR="003C772A" w:rsidRPr="00475828" w:rsidRDefault="00E3489D" w:rsidP="00DF4E36">
            <w:pPr>
              <w:keepLines/>
              <w:rPr>
                <w:lang w:val="cs-CZ"/>
              </w:rPr>
            </w:pPr>
            <w:proofErr w:type="spellStart"/>
            <w:r w:rsidRPr="00475828">
              <w:rPr>
                <w:lang w:val="cs-CZ"/>
              </w:rPr>
              <w:t>Site</w:t>
            </w:r>
            <w:proofErr w:type="spellEnd"/>
            <w:r w:rsidRPr="00475828">
              <w:rPr>
                <w:lang w:val="cs-CZ"/>
              </w:rPr>
              <w:t xml:space="preserve"> </w:t>
            </w:r>
            <w:proofErr w:type="spellStart"/>
            <w:r w:rsidRPr="00475828">
              <w:rPr>
                <w:lang w:val="cs-CZ"/>
              </w:rPr>
              <w:t>sharing</w:t>
            </w:r>
            <w:proofErr w:type="spellEnd"/>
            <w:r w:rsidR="003C772A" w:rsidRPr="00475828">
              <w:rPr>
                <w:lang w:val="cs-CZ"/>
              </w:rPr>
              <w:t xml:space="preserve"> </w:t>
            </w:r>
          </w:p>
        </w:tc>
        <w:tc>
          <w:tcPr>
            <w:tcW w:w="5529" w:type="dxa"/>
            <w:shd w:val="clear" w:color="auto" w:fill="D9D9D9" w:themeFill="background1" w:themeFillShade="D9"/>
          </w:tcPr>
          <w:p w14:paraId="03E62F3B" w14:textId="77777777" w:rsidR="003C772A" w:rsidRPr="00475828" w:rsidRDefault="00E3489D" w:rsidP="00DF4E36">
            <w:pPr>
              <w:keepLines/>
              <w:rPr>
                <w:lang w:val="cs-CZ"/>
              </w:rPr>
            </w:pPr>
            <w:r w:rsidRPr="00475828">
              <w:rPr>
                <w:lang w:val="cs-CZ"/>
              </w:rPr>
              <w:t xml:space="preserve">Sdílení fyzických lokalit/pozemků  </w:t>
            </w:r>
          </w:p>
        </w:tc>
      </w:tr>
      <w:tr w:rsidR="003C772A" w:rsidRPr="00843D00" w14:paraId="402648EE" w14:textId="77777777" w:rsidTr="0013350B">
        <w:trPr>
          <w:trHeight w:val="540"/>
        </w:trPr>
        <w:tc>
          <w:tcPr>
            <w:tcW w:w="2943" w:type="dxa"/>
            <w:shd w:val="clear" w:color="auto" w:fill="B6DDE8" w:themeFill="accent5" w:themeFillTint="66"/>
          </w:tcPr>
          <w:p w14:paraId="3506CFAA" w14:textId="77777777" w:rsidR="003C772A" w:rsidRPr="00475828" w:rsidRDefault="00E3489D" w:rsidP="00DF4E36">
            <w:pPr>
              <w:keepLines/>
              <w:rPr>
                <w:lang w:val="cs-CZ"/>
              </w:rPr>
            </w:pPr>
            <w:r w:rsidRPr="00475828">
              <w:rPr>
                <w:lang w:val="cs-CZ"/>
              </w:rPr>
              <w:t xml:space="preserve">Mast </w:t>
            </w:r>
            <w:proofErr w:type="spellStart"/>
            <w:r w:rsidRPr="00475828">
              <w:rPr>
                <w:lang w:val="cs-CZ"/>
              </w:rPr>
              <w:t>sharing</w:t>
            </w:r>
            <w:proofErr w:type="spellEnd"/>
            <w:r w:rsidRPr="00475828">
              <w:rPr>
                <w:lang w:val="cs-CZ"/>
              </w:rPr>
              <w:t xml:space="preserve"> </w:t>
            </w:r>
          </w:p>
        </w:tc>
        <w:tc>
          <w:tcPr>
            <w:tcW w:w="5529" w:type="dxa"/>
            <w:shd w:val="clear" w:color="auto" w:fill="B6DDE8" w:themeFill="accent5" w:themeFillTint="66"/>
          </w:tcPr>
          <w:p w14:paraId="6159768F" w14:textId="77777777" w:rsidR="003C772A" w:rsidRPr="00475828" w:rsidRDefault="00E3489D" w:rsidP="00DF4E36">
            <w:pPr>
              <w:keepLines/>
              <w:rPr>
                <w:lang w:val="cs-CZ"/>
              </w:rPr>
            </w:pPr>
            <w:r w:rsidRPr="00475828">
              <w:rPr>
                <w:lang w:val="cs-CZ"/>
              </w:rPr>
              <w:t xml:space="preserve">Sdílení </w:t>
            </w:r>
            <w:r w:rsidR="003A7631" w:rsidRPr="00475828">
              <w:rPr>
                <w:lang w:val="cs-CZ"/>
              </w:rPr>
              <w:t>fyzický</w:t>
            </w:r>
            <w:r w:rsidR="001D143B">
              <w:rPr>
                <w:lang w:val="cs-CZ"/>
              </w:rPr>
              <w:t>ch</w:t>
            </w:r>
            <w:r w:rsidR="003A7631" w:rsidRPr="00475828">
              <w:rPr>
                <w:lang w:val="cs-CZ"/>
              </w:rPr>
              <w:t xml:space="preserve"> lokalit/pozemků, </w:t>
            </w:r>
            <w:r w:rsidRPr="00475828">
              <w:rPr>
                <w:lang w:val="cs-CZ"/>
              </w:rPr>
              <w:t>stožárů či jiných úchytných bodů (střechy, komíny) s oddělenými anténami i</w:t>
            </w:r>
            <w:r w:rsidR="00247FC2">
              <w:rPr>
                <w:lang w:val="cs-CZ"/>
              </w:rPr>
              <w:t> </w:t>
            </w:r>
            <w:r w:rsidRPr="00475828">
              <w:rPr>
                <w:lang w:val="cs-CZ"/>
              </w:rPr>
              <w:t xml:space="preserve">dalším vybavením </w:t>
            </w:r>
          </w:p>
        </w:tc>
      </w:tr>
      <w:tr w:rsidR="003C772A" w:rsidRPr="00843D00" w14:paraId="0B97FEAD" w14:textId="77777777" w:rsidTr="0013350B">
        <w:trPr>
          <w:trHeight w:val="540"/>
        </w:trPr>
        <w:tc>
          <w:tcPr>
            <w:tcW w:w="2943" w:type="dxa"/>
            <w:shd w:val="clear" w:color="auto" w:fill="D9D9D9" w:themeFill="background1" w:themeFillShade="D9"/>
          </w:tcPr>
          <w:p w14:paraId="17C8AB67" w14:textId="77777777" w:rsidR="003C772A" w:rsidRPr="00475828" w:rsidRDefault="00E3489D" w:rsidP="00DF4E36">
            <w:pPr>
              <w:keepLines/>
              <w:rPr>
                <w:lang w:val="cs-CZ"/>
              </w:rPr>
            </w:pPr>
            <w:r w:rsidRPr="00475828">
              <w:rPr>
                <w:lang w:val="cs-CZ"/>
              </w:rPr>
              <w:t>RAN</w:t>
            </w:r>
            <w:r w:rsidR="00350339" w:rsidRPr="00475828">
              <w:rPr>
                <w:lang w:val="cs-CZ"/>
              </w:rPr>
              <w:t xml:space="preserve"> (</w:t>
            </w:r>
            <w:proofErr w:type="spellStart"/>
            <w:r w:rsidR="00350339" w:rsidRPr="00475828">
              <w:rPr>
                <w:lang w:val="cs-CZ"/>
              </w:rPr>
              <w:t>Radio</w:t>
            </w:r>
            <w:proofErr w:type="spellEnd"/>
            <w:r w:rsidR="00350339" w:rsidRPr="00475828">
              <w:rPr>
                <w:lang w:val="cs-CZ"/>
              </w:rPr>
              <w:t xml:space="preserve"> </w:t>
            </w:r>
            <w:r w:rsidR="00EE28A8" w:rsidRPr="00475828">
              <w:rPr>
                <w:lang w:val="cs-CZ"/>
              </w:rPr>
              <w:t xml:space="preserve">Access </w:t>
            </w:r>
            <w:r w:rsidR="00350339" w:rsidRPr="00475828">
              <w:rPr>
                <w:lang w:val="cs-CZ"/>
              </w:rPr>
              <w:t>Network)</w:t>
            </w:r>
            <w:r w:rsidRPr="00475828">
              <w:rPr>
                <w:lang w:val="cs-CZ"/>
              </w:rPr>
              <w:t xml:space="preserve"> </w:t>
            </w:r>
            <w:proofErr w:type="spellStart"/>
            <w:r w:rsidRPr="00475828">
              <w:rPr>
                <w:lang w:val="cs-CZ"/>
              </w:rPr>
              <w:t>sharing</w:t>
            </w:r>
            <w:proofErr w:type="spellEnd"/>
          </w:p>
        </w:tc>
        <w:tc>
          <w:tcPr>
            <w:tcW w:w="5529" w:type="dxa"/>
            <w:shd w:val="clear" w:color="auto" w:fill="D9D9D9" w:themeFill="background1" w:themeFillShade="D9"/>
          </w:tcPr>
          <w:p w14:paraId="08645933" w14:textId="310253A0" w:rsidR="00350339" w:rsidRPr="00475828" w:rsidRDefault="00E3489D" w:rsidP="00DF4E36">
            <w:pPr>
              <w:keepLines/>
              <w:rPr>
                <w:lang w:val="cs-CZ"/>
              </w:rPr>
            </w:pPr>
            <w:r w:rsidRPr="00475828">
              <w:rPr>
                <w:lang w:val="cs-CZ"/>
              </w:rPr>
              <w:t>Sdílení</w:t>
            </w:r>
            <w:r w:rsidR="003A7631" w:rsidRPr="00475828">
              <w:rPr>
                <w:lang w:val="cs-CZ"/>
              </w:rPr>
              <w:t xml:space="preserve"> přístupové infrastruktury zahrnující sdílení</w:t>
            </w:r>
            <w:r w:rsidRPr="00475828">
              <w:rPr>
                <w:lang w:val="cs-CZ"/>
              </w:rPr>
              <w:t xml:space="preserve"> </w:t>
            </w:r>
            <w:r w:rsidR="00350339" w:rsidRPr="00475828">
              <w:rPr>
                <w:lang w:val="cs-CZ"/>
              </w:rPr>
              <w:t>lokalit, stožárů a podpůrných zařízení pro provoz sítě jako je kabeláž, zdroj, chlazení, zařízení umožňující vysílání služby (</w:t>
            </w:r>
            <w:proofErr w:type="spellStart"/>
            <w:r w:rsidR="00350339" w:rsidRPr="00475828">
              <w:rPr>
                <w:lang w:val="cs-CZ"/>
              </w:rPr>
              <w:t>eNodeB</w:t>
            </w:r>
            <w:proofErr w:type="spellEnd"/>
            <w:r w:rsidR="00350339" w:rsidRPr="00475828">
              <w:rPr>
                <w:lang w:val="cs-CZ"/>
              </w:rPr>
              <w:t xml:space="preserve">, </w:t>
            </w:r>
            <w:proofErr w:type="spellStart"/>
            <w:r w:rsidR="00350339" w:rsidRPr="00475828">
              <w:rPr>
                <w:lang w:val="cs-CZ"/>
              </w:rPr>
              <w:t>NodeB</w:t>
            </w:r>
            <w:proofErr w:type="spellEnd"/>
            <w:r w:rsidR="00350339" w:rsidRPr="00475828">
              <w:rPr>
                <w:lang w:val="cs-CZ"/>
              </w:rPr>
              <w:t xml:space="preserve">, BTS), řídící jednotky provozu základnových stanic (BSC, RNC) a </w:t>
            </w:r>
            <w:proofErr w:type="spellStart"/>
            <w:r w:rsidR="00350339" w:rsidRPr="00475828">
              <w:rPr>
                <w:lang w:val="cs-CZ"/>
              </w:rPr>
              <w:t>backhaul</w:t>
            </w:r>
            <w:proofErr w:type="spellEnd"/>
            <w:r w:rsidR="00350339" w:rsidRPr="00475828">
              <w:rPr>
                <w:lang w:val="cs-CZ"/>
              </w:rPr>
              <w:t xml:space="preserve">, tj. sdílení veškerého síťového vybavení až k bodu připojení do páteřní sítě </w:t>
            </w:r>
          </w:p>
          <w:p w14:paraId="0CBEB7A5" w14:textId="5A6271BF" w:rsidR="003C772A" w:rsidRPr="00475828" w:rsidRDefault="00D14D21" w:rsidP="00DF4E36">
            <w:pPr>
              <w:keepLines/>
              <w:rPr>
                <w:lang w:val="cs-CZ"/>
              </w:rPr>
            </w:pPr>
            <w:r w:rsidRPr="00475828">
              <w:rPr>
                <w:lang w:val="cs-CZ"/>
              </w:rPr>
              <w:t xml:space="preserve">Konkrétní implementace </w:t>
            </w:r>
            <w:r w:rsidR="00350339" w:rsidRPr="00475828">
              <w:rPr>
                <w:lang w:val="cs-CZ"/>
              </w:rPr>
              <w:t xml:space="preserve">RAN </w:t>
            </w:r>
            <w:proofErr w:type="spellStart"/>
            <w:r w:rsidR="00350339" w:rsidRPr="00475828">
              <w:rPr>
                <w:lang w:val="cs-CZ"/>
              </w:rPr>
              <w:t>sharing</w:t>
            </w:r>
            <w:r w:rsidRPr="00475828">
              <w:rPr>
                <w:lang w:val="cs-CZ"/>
              </w:rPr>
              <w:t>u</w:t>
            </w:r>
            <w:proofErr w:type="spellEnd"/>
            <w:r w:rsidRPr="00475828">
              <w:rPr>
                <w:lang w:val="cs-CZ"/>
              </w:rPr>
              <w:t xml:space="preserve"> se může případ od případu lišit</w:t>
            </w:r>
            <w:r w:rsidR="00350339" w:rsidRPr="00475828">
              <w:rPr>
                <w:lang w:val="cs-CZ"/>
              </w:rPr>
              <w:t xml:space="preserve">, ale v zásadě </w:t>
            </w:r>
            <w:r w:rsidRPr="00475828">
              <w:rPr>
                <w:lang w:val="cs-CZ"/>
              </w:rPr>
              <w:t xml:space="preserve">se jedná o sdílení </w:t>
            </w:r>
            <w:r w:rsidR="004B6F3E">
              <w:rPr>
                <w:lang w:val="cs-CZ"/>
              </w:rPr>
              <w:t xml:space="preserve">rádiové </w:t>
            </w:r>
            <w:r w:rsidRPr="00475828">
              <w:rPr>
                <w:lang w:val="cs-CZ"/>
              </w:rPr>
              <w:t xml:space="preserve">přístupové sítě, jež zahrnuje základnové stanice, řídící jednotky a </w:t>
            </w:r>
            <w:proofErr w:type="spellStart"/>
            <w:r w:rsidRPr="00475828">
              <w:rPr>
                <w:lang w:val="cs-CZ"/>
              </w:rPr>
              <w:t>backhaul</w:t>
            </w:r>
            <w:proofErr w:type="spellEnd"/>
            <w:r w:rsidR="00350339" w:rsidRPr="00475828">
              <w:rPr>
                <w:lang w:val="cs-CZ"/>
              </w:rPr>
              <w:t xml:space="preserve">. Nejrozšířenější formou RAN </w:t>
            </w:r>
            <w:proofErr w:type="spellStart"/>
            <w:r w:rsidR="00350339" w:rsidRPr="00475828">
              <w:rPr>
                <w:lang w:val="cs-CZ"/>
              </w:rPr>
              <w:t>sharingu</w:t>
            </w:r>
            <w:proofErr w:type="spellEnd"/>
            <w:r w:rsidR="00350339" w:rsidRPr="00475828">
              <w:rPr>
                <w:lang w:val="cs-CZ"/>
              </w:rPr>
              <w:t xml:space="preserve"> je tzv. MORAN (</w:t>
            </w:r>
            <w:proofErr w:type="spellStart"/>
            <w:r w:rsidR="00350339" w:rsidRPr="00475828">
              <w:rPr>
                <w:lang w:val="cs-CZ"/>
              </w:rPr>
              <w:t>Multi-Operator</w:t>
            </w:r>
            <w:proofErr w:type="spellEnd"/>
            <w:r w:rsidR="00350339" w:rsidRPr="00475828">
              <w:rPr>
                <w:lang w:val="cs-CZ"/>
              </w:rPr>
              <w:t xml:space="preserve"> RAN) sdílení, jež spočívá v tom, že se každý fyzický prvek přístupové sítě chová jako dvě samostatná virtuální zařízení</w:t>
            </w:r>
            <w:r w:rsidRPr="00475828">
              <w:rPr>
                <w:lang w:val="cs-CZ"/>
              </w:rPr>
              <w:t xml:space="preserve"> a provoz sdílejících operátorů je oddělený</w:t>
            </w:r>
            <w:r w:rsidR="00C108F9">
              <w:rPr>
                <w:lang w:val="cs-CZ"/>
              </w:rPr>
              <w:t>.</w:t>
            </w:r>
            <w:r w:rsidR="00350339" w:rsidRPr="00475828">
              <w:rPr>
                <w:lang w:val="cs-CZ"/>
              </w:rPr>
              <w:t xml:space="preserve">     </w:t>
            </w:r>
          </w:p>
        </w:tc>
      </w:tr>
      <w:tr w:rsidR="003C772A" w:rsidRPr="00475828" w14:paraId="3155F7A5" w14:textId="77777777" w:rsidTr="0013350B">
        <w:trPr>
          <w:trHeight w:val="540"/>
        </w:trPr>
        <w:tc>
          <w:tcPr>
            <w:tcW w:w="2943" w:type="dxa"/>
            <w:shd w:val="clear" w:color="auto" w:fill="B6DDE8" w:themeFill="accent5" w:themeFillTint="66"/>
          </w:tcPr>
          <w:p w14:paraId="6111DC22" w14:textId="77777777" w:rsidR="003C772A" w:rsidRPr="00475828" w:rsidRDefault="003C772A" w:rsidP="00DF4E36">
            <w:pPr>
              <w:keepLines/>
              <w:rPr>
                <w:lang w:val="cs-CZ"/>
              </w:rPr>
            </w:pPr>
            <w:proofErr w:type="spellStart"/>
            <w:r w:rsidRPr="00475828">
              <w:rPr>
                <w:lang w:val="cs-CZ"/>
              </w:rPr>
              <w:t>Core</w:t>
            </w:r>
            <w:proofErr w:type="spellEnd"/>
            <w:r w:rsidRPr="00475828">
              <w:rPr>
                <w:lang w:val="cs-CZ"/>
              </w:rPr>
              <w:t xml:space="preserve"> network </w:t>
            </w:r>
            <w:proofErr w:type="spellStart"/>
            <w:r w:rsidRPr="00475828">
              <w:rPr>
                <w:lang w:val="cs-CZ"/>
              </w:rPr>
              <w:t>sharing</w:t>
            </w:r>
            <w:proofErr w:type="spellEnd"/>
          </w:p>
        </w:tc>
        <w:tc>
          <w:tcPr>
            <w:tcW w:w="5529" w:type="dxa"/>
            <w:shd w:val="clear" w:color="auto" w:fill="B6DDE8" w:themeFill="accent5" w:themeFillTint="66"/>
          </w:tcPr>
          <w:p w14:paraId="0536E16B" w14:textId="414EEAB4" w:rsidR="00350339" w:rsidRPr="00475828" w:rsidRDefault="00350339" w:rsidP="00DF4E36">
            <w:pPr>
              <w:keepLines/>
              <w:rPr>
                <w:lang w:val="cs-CZ"/>
              </w:rPr>
            </w:pPr>
            <w:r w:rsidRPr="00475828">
              <w:rPr>
                <w:lang w:val="cs-CZ"/>
              </w:rPr>
              <w:t xml:space="preserve">Sdílení také </w:t>
            </w:r>
            <w:r w:rsidR="000B4961" w:rsidRPr="00475828">
              <w:rPr>
                <w:lang w:val="cs-CZ"/>
              </w:rPr>
              <w:t xml:space="preserve">jednoho či více </w:t>
            </w:r>
            <w:r w:rsidRPr="00475828">
              <w:rPr>
                <w:lang w:val="cs-CZ"/>
              </w:rPr>
              <w:t>prvků páteřní sítě (inteligentní síť</w:t>
            </w:r>
            <w:r w:rsidR="000B4961" w:rsidRPr="00475828">
              <w:rPr>
                <w:lang w:val="cs-CZ"/>
              </w:rPr>
              <w:t xml:space="preserve">, SMSC, MMSC, ústředna a další), čímž dochází k tomu, že operátoři fungují na jedné síti   </w:t>
            </w:r>
          </w:p>
          <w:p w14:paraId="257269EA" w14:textId="77777777" w:rsidR="003C772A" w:rsidRPr="00475828" w:rsidRDefault="000B4961" w:rsidP="00DF4E36">
            <w:pPr>
              <w:keepLines/>
              <w:rPr>
                <w:lang w:val="cs-CZ"/>
              </w:rPr>
            </w:pPr>
            <w:r w:rsidRPr="00475828">
              <w:rPr>
                <w:lang w:val="cs-CZ"/>
              </w:rPr>
              <w:t xml:space="preserve">Jednou z možných modalit je tzv. </w:t>
            </w:r>
            <w:r w:rsidR="003C772A" w:rsidRPr="00475828">
              <w:rPr>
                <w:lang w:val="cs-CZ"/>
              </w:rPr>
              <w:t>MOCN (</w:t>
            </w:r>
            <w:proofErr w:type="spellStart"/>
            <w:r w:rsidR="003C772A" w:rsidRPr="00475828">
              <w:rPr>
                <w:lang w:val="cs-CZ"/>
              </w:rPr>
              <w:t>Multi</w:t>
            </w:r>
            <w:proofErr w:type="spellEnd"/>
            <w:r w:rsidR="003C772A" w:rsidRPr="00475828">
              <w:rPr>
                <w:lang w:val="cs-CZ"/>
              </w:rPr>
              <w:t xml:space="preserve"> </w:t>
            </w:r>
            <w:proofErr w:type="spellStart"/>
            <w:r w:rsidR="003C772A" w:rsidRPr="00475828">
              <w:rPr>
                <w:lang w:val="cs-CZ"/>
              </w:rPr>
              <w:t>Operator</w:t>
            </w:r>
            <w:proofErr w:type="spellEnd"/>
            <w:r w:rsidR="003C772A" w:rsidRPr="00475828">
              <w:rPr>
                <w:lang w:val="cs-CZ"/>
              </w:rPr>
              <w:t xml:space="preserve"> CN)</w:t>
            </w:r>
            <w:r w:rsidRPr="00475828">
              <w:rPr>
                <w:lang w:val="cs-CZ"/>
              </w:rPr>
              <w:t xml:space="preserve">. </w:t>
            </w:r>
          </w:p>
        </w:tc>
      </w:tr>
      <w:tr w:rsidR="003C772A" w:rsidRPr="00475828" w14:paraId="1BCEE159" w14:textId="77777777" w:rsidTr="0013350B">
        <w:trPr>
          <w:trHeight w:val="552"/>
        </w:trPr>
        <w:tc>
          <w:tcPr>
            <w:tcW w:w="2943" w:type="dxa"/>
            <w:shd w:val="clear" w:color="auto" w:fill="D9D9D9" w:themeFill="background1" w:themeFillShade="D9"/>
          </w:tcPr>
          <w:p w14:paraId="4A0A5347" w14:textId="77777777" w:rsidR="003C772A" w:rsidRPr="00475828" w:rsidRDefault="003C772A" w:rsidP="00DF4E36">
            <w:pPr>
              <w:keepLines/>
              <w:rPr>
                <w:lang w:val="cs-CZ"/>
              </w:rPr>
            </w:pPr>
            <w:proofErr w:type="spellStart"/>
            <w:r w:rsidRPr="00475828">
              <w:rPr>
                <w:lang w:val="cs-CZ"/>
              </w:rPr>
              <w:t>Spectrum</w:t>
            </w:r>
            <w:proofErr w:type="spellEnd"/>
            <w:r w:rsidRPr="00475828">
              <w:rPr>
                <w:lang w:val="cs-CZ"/>
              </w:rPr>
              <w:t xml:space="preserve"> </w:t>
            </w:r>
            <w:proofErr w:type="spellStart"/>
            <w:r w:rsidRPr="00475828">
              <w:rPr>
                <w:lang w:val="cs-CZ"/>
              </w:rPr>
              <w:t>Pooling</w:t>
            </w:r>
            <w:proofErr w:type="spellEnd"/>
          </w:p>
        </w:tc>
        <w:tc>
          <w:tcPr>
            <w:tcW w:w="5529" w:type="dxa"/>
            <w:shd w:val="clear" w:color="auto" w:fill="D9D9D9" w:themeFill="background1" w:themeFillShade="D9"/>
          </w:tcPr>
          <w:p w14:paraId="09299892" w14:textId="0B8EE378" w:rsidR="003C772A" w:rsidRPr="00475828" w:rsidRDefault="000B4961" w:rsidP="00DF4E36">
            <w:pPr>
              <w:keepLines/>
              <w:rPr>
                <w:lang w:val="cs-CZ"/>
              </w:rPr>
            </w:pPr>
            <w:r w:rsidRPr="00475828">
              <w:rPr>
                <w:lang w:val="cs-CZ"/>
              </w:rPr>
              <w:t xml:space="preserve">Sdílení spektra </w:t>
            </w:r>
          </w:p>
        </w:tc>
      </w:tr>
    </w:tbl>
    <w:p w14:paraId="6AA7D1AC" w14:textId="77777777" w:rsidR="00490EFB" w:rsidRPr="00475828" w:rsidRDefault="00490EFB" w:rsidP="001D143B">
      <w:pPr>
        <w:keepNext/>
        <w:keepLines/>
        <w:rPr>
          <w:lang w:val="cs-CZ"/>
        </w:rPr>
      </w:pPr>
    </w:p>
    <w:p w14:paraId="4323921E" w14:textId="07E170A2" w:rsidR="002E3F73" w:rsidRPr="00475828" w:rsidRDefault="00752D4B" w:rsidP="00DF4E36">
      <w:pPr>
        <w:keepLines/>
        <w:ind w:firstLine="567"/>
        <w:rPr>
          <w:lang w:val="cs-CZ"/>
        </w:rPr>
      </w:pPr>
      <w:r w:rsidRPr="00475828">
        <w:rPr>
          <w:lang w:val="cs-CZ"/>
        </w:rPr>
        <w:t>Formou sdílení</w:t>
      </w:r>
      <w:r w:rsidR="000B4961" w:rsidRPr="00475828">
        <w:rPr>
          <w:lang w:val="cs-CZ"/>
        </w:rPr>
        <w:t xml:space="preserve"> sítí</w:t>
      </w:r>
      <w:r w:rsidRPr="00475828">
        <w:rPr>
          <w:lang w:val="cs-CZ"/>
        </w:rPr>
        <w:t xml:space="preserve"> je i </w:t>
      </w:r>
      <w:r w:rsidR="00EC1E80" w:rsidRPr="00475828">
        <w:rPr>
          <w:lang w:val="cs-CZ"/>
        </w:rPr>
        <w:t xml:space="preserve">velkoobchodní spolupráce formou </w:t>
      </w:r>
      <w:r w:rsidRPr="00475828">
        <w:rPr>
          <w:lang w:val="cs-CZ"/>
        </w:rPr>
        <w:t>umožnění vzniku MVNO</w:t>
      </w:r>
      <w:r w:rsidR="00EC1E80" w:rsidRPr="00475828">
        <w:rPr>
          <w:lang w:val="cs-CZ"/>
        </w:rPr>
        <w:t xml:space="preserve"> a</w:t>
      </w:r>
      <w:r w:rsidR="005B6DAB">
        <w:rPr>
          <w:lang w:val="cs-CZ"/>
        </w:rPr>
        <w:t> </w:t>
      </w:r>
      <w:r w:rsidRPr="00475828">
        <w:rPr>
          <w:lang w:val="cs-CZ"/>
        </w:rPr>
        <w:t>národní</w:t>
      </w:r>
      <w:r w:rsidR="00EC1E80" w:rsidRPr="00475828">
        <w:rPr>
          <w:lang w:val="cs-CZ"/>
        </w:rPr>
        <w:t xml:space="preserve">ho </w:t>
      </w:r>
      <w:r w:rsidRPr="00475828">
        <w:rPr>
          <w:lang w:val="cs-CZ"/>
        </w:rPr>
        <w:t>roaming</w:t>
      </w:r>
      <w:r w:rsidR="00EC1E80" w:rsidRPr="00475828">
        <w:rPr>
          <w:lang w:val="cs-CZ"/>
        </w:rPr>
        <w:t>u</w:t>
      </w:r>
      <w:r w:rsidRPr="00475828">
        <w:rPr>
          <w:lang w:val="cs-CZ"/>
        </w:rPr>
        <w:t>.</w:t>
      </w:r>
      <w:r w:rsidR="000721D0" w:rsidRPr="00475828">
        <w:rPr>
          <w:lang w:val="cs-CZ"/>
        </w:rPr>
        <w:t xml:space="preserve"> </w:t>
      </w:r>
      <w:r w:rsidR="000C224C" w:rsidRPr="007D66C7">
        <w:rPr>
          <w:lang w:val="cs-CZ"/>
        </w:rPr>
        <w:t>Analýza</w:t>
      </w:r>
      <w:r w:rsidR="000721D0" w:rsidRPr="007D66C7">
        <w:rPr>
          <w:lang w:val="cs-CZ"/>
        </w:rPr>
        <w:t xml:space="preserve"> </w:t>
      </w:r>
      <w:r w:rsidR="00EC1E80" w:rsidRPr="007D66C7">
        <w:rPr>
          <w:lang w:val="cs-CZ"/>
        </w:rPr>
        <w:t xml:space="preserve">těchto forem </w:t>
      </w:r>
      <w:r w:rsidR="000721D0" w:rsidRPr="007D66C7">
        <w:rPr>
          <w:lang w:val="cs-CZ"/>
        </w:rPr>
        <w:t>spolupráce</w:t>
      </w:r>
      <w:r w:rsidR="000C224C" w:rsidRPr="007D66C7">
        <w:rPr>
          <w:lang w:val="cs-CZ"/>
        </w:rPr>
        <w:t xml:space="preserve"> není</w:t>
      </w:r>
      <w:r w:rsidR="000721D0" w:rsidRPr="007D66C7">
        <w:rPr>
          <w:lang w:val="cs-CZ"/>
        </w:rPr>
        <w:t xml:space="preserve"> předmětem tohoto </w:t>
      </w:r>
      <w:r w:rsidR="000B4961" w:rsidRPr="007D66C7">
        <w:rPr>
          <w:lang w:val="cs-CZ"/>
        </w:rPr>
        <w:t>dokumentu</w:t>
      </w:r>
      <w:r w:rsidR="000721D0" w:rsidRPr="007D66C7">
        <w:rPr>
          <w:lang w:val="cs-CZ"/>
        </w:rPr>
        <w:t>.</w:t>
      </w:r>
      <w:r w:rsidR="000721D0" w:rsidRPr="00475828">
        <w:rPr>
          <w:lang w:val="cs-CZ"/>
        </w:rPr>
        <w:t xml:space="preserve"> </w:t>
      </w:r>
    </w:p>
    <w:p w14:paraId="46A9728C" w14:textId="77777777" w:rsidR="00490EFB" w:rsidRPr="00475828" w:rsidRDefault="004955C7" w:rsidP="00DF4E36">
      <w:pPr>
        <w:pStyle w:val="Nadpis2"/>
        <w:keepNext w:val="0"/>
        <w:keepLines/>
        <w:numPr>
          <w:ilvl w:val="1"/>
          <w:numId w:val="3"/>
        </w:numPr>
      </w:pPr>
      <w:bookmarkStart w:id="95" w:name="_Toc301423669"/>
      <w:r w:rsidRPr="00475828">
        <w:t>Dělení dle generace technologie (</w:t>
      </w:r>
      <w:r w:rsidR="00490EFB" w:rsidRPr="00475828">
        <w:t>2G/3G sítí a 4G sít</w:t>
      </w:r>
      <w:r w:rsidRPr="00475828">
        <w:t>ě)</w:t>
      </w:r>
      <w:bookmarkEnd w:id="95"/>
      <w:r w:rsidR="00490EFB" w:rsidRPr="00475828">
        <w:t xml:space="preserve">  </w:t>
      </w:r>
    </w:p>
    <w:p w14:paraId="6D9C430B" w14:textId="77777777" w:rsidR="00B36CAC" w:rsidRPr="00475828" w:rsidRDefault="00BD20DE" w:rsidP="00DF4E36">
      <w:pPr>
        <w:keepLines/>
        <w:ind w:firstLine="567"/>
        <w:rPr>
          <w:rFonts w:cs="Arial"/>
          <w:lang w:val="cs-CZ"/>
        </w:rPr>
      </w:pPr>
      <w:r w:rsidRPr="00475828">
        <w:rPr>
          <w:rFonts w:cs="Arial"/>
          <w:lang w:val="cs-CZ"/>
        </w:rPr>
        <w:lastRenderedPageBreak/>
        <w:t xml:space="preserve">Charakter </w:t>
      </w:r>
      <w:r w:rsidR="00B36CAC" w:rsidRPr="00475828">
        <w:rPr>
          <w:rFonts w:cs="Arial"/>
          <w:lang w:val="cs-CZ"/>
        </w:rPr>
        <w:t xml:space="preserve">sdílení </w:t>
      </w:r>
      <w:r w:rsidR="005B5FFC" w:rsidRPr="00475828">
        <w:rPr>
          <w:rFonts w:cs="Arial"/>
          <w:lang w:val="cs-CZ"/>
        </w:rPr>
        <w:t xml:space="preserve">2G/3G </w:t>
      </w:r>
      <w:r w:rsidR="00B36CAC" w:rsidRPr="00475828">
        <w:rPr>
          <w:rFonts w:cs="Arial"/>
          <w:lang w:val="cs-CZ"/>
        </w:rPr>
        <w:t xml:space="preserve">sítí a sdílení </w:t>
      </w:r>
      <w:r w:rsidR="005B5FFC" w:rsidRPr="00475828">
        <w:rPr>
          <w:rFonts w:cs="Arial"/>
          <w:lang w:val="cs-CZ"/>
        </w:rPr>
        <w:t xml:space="preserve">4G </w:t>
      </w:r>
      <w:r w:rsidR="00B36CAC" w:rsidRPr="00475828">
        <w:rPr>
          <w:rFonts w:cs="Arial"/>
          <w:lang w:val="cs-CZ"/>
        </w:rPr>
        <w:t>sítí</w:t>
      </w:r>
      <w:r w:rsidRPr="00475828">
        <w:rPr>
          <w:rFonts w:cs="Arial"/>
          <w:lang w:val="cs-CZ"/>
        </w:rPr>
        <w:t xml:space="preserve"> je </w:t>
      </w:r>
      <w:r w:rsidR="00B36CAC" w:rsidRPr="00475828">
        <w:rPr>
          <w:rFonts w:cs="Arial"/>
          <w:lang w:val="cs-CZ"/>
        </w:rPr>
        <w:t>ve většině případů poněkud odlišný.</w:t>
      </w:r>
      <w:r w:rsidRPr="00475828">
        <w:rPr>
          <w:rFonts w:cs="Arial"/>
          <w:lang w:val="cs-CZ"/>
        </w:rPr>
        <w:t xml:space="preserve"> </w:t>
      </w:r>
      <w:r w:rsidR="00B36CAC" w:rsidRPr="00475828">
        <w:rPr>
          <w:rFonts w:cs="Arial"/>
          <w:lang w:val="cs-CZ"/>
        </w:rPr>
        <w:t>K</w:t>
      </w:r>
      <w:r w:rsidR="00247FC2">
        <w:rPr>
          <w:rFonts w:cs="Arial"/>
          <w:lang w:val="cs-CZ"/>
        </w:rPr>
        <w:t> </w:t>
      </w:r>
      <w:r w:rsidRPr="00475828">
        <w:rPr>
          <w:rFonts w:cs="Arial"/>
          <w:lang w:val="cs-CZ"/>
        </w:rPr>
        <w:t xml:space="preserve">uzavírání </w:t>
      </w:r>
      <w:r w:rsidR="00B36CAC" w:rsidRPr="00475828">
        <w:rPr>
          <w:rFonts w:cs="Arial"/>
          <w:lang w:val="cs-CZ"/>
        </w:rPr>
        <w:t>dohod</w:t>
      </w:r>
      <w:r w:rsidRPr="00475828">
        <w:rPr>
          <w:rFonts w:cs="Arial"/>
          <w:lang w:val="cs-CZ"/>
        </w:rPr>
        <w:t xml:space="preserve"> o sdílení </w:t>
      </w:r>
      <w:r w:rsidR="005B5FFC" w:rsidRPr="00475828">
        <w:rPr>
          <w:rFonts w:cs="Arial"/>
          <w:lang w:val="cs-CZ"/>
        </w:rPr>
        <w:t xml:space="preserve">2G/3G </w:t>
      </w:r>
      <w:r w:rsidRPr="00475828">
        <w:rPr>
          <w:rFonts w:cs="Arial"/>
          <w:lang w:val="cs-CZ"/>
        </w:rPr>
        <w:t xml:space="preserve">sítí </w:t>
      </w:r>
      <w:r w:rsidR="00B36CAC" w:rsidRPr="00475828">
        <w:rPr>
          <w:rFonts w:cs="Arial"/>
          <w:lang w:val="cs-CZ"/>
        </w:rPr>
        <w:t xml:space="preserve">dochází často </w:t>
      </w:r>
      <w:r w:rsidRPr="00475828">
        <w:rPr>
          <w:rFonts w:cs="Arial"/>
          <w:lang w:val="cs-CZ"/>
        </w:rPr>
        <w:t xml:space="preserve">v </w:t>
      </w:r>
      <w:r w:rsidR="00B36CAC" w:rsidRPr="00475828">
        <w:rPr>
          <w:rFonts w:cs="Arial"/>
          <w:lang w:val="cs-CZ"/>
        </w:rPr>
        <w:t>době</w:t>
      </w:r>
      <w:r w:rsidRPr="00475828">
        <w:rPr>
          <w:rFonts w:cs="Arial"/>
          <w:lang w:val="cs-CZ"/>
        </w:rPr>
        <w:t xml:space="preserve">, kdy </w:t>
      </w:r>
      <w:r w:rsidR="00B36CAC" w:rsidRPr="00475828">
        <w:rPr>
          <w:rFonts w:cs="Arial"/>
          <w:lang w:val="cs-CZ"/>
        </w:rPr>
        <w:t xml:space="preserve">sítě </w:t>
      </w:r>
      <w:r w:rsidRPr="00475828">
        <w:rPr>
          <w:rFonts w:cs="Arial"/>
          <w:lang w:val="cs-CZ"/>
        </w:rPr>
        <w:t xml:space="preserve">jsou již </w:t>
      </w:r>
      <w:r w:rsidR="00B36CAC" w:rsidRPr="00475828">
        <w:rPr>
          <w:rFonts w:cs="Arial"/>
          <w:lang w:val="cs-CZ"/>
        </w:rPr>
        <w:t xml:space="preserve">zcela nebo z velké části </w:t>
      </w:r>
      <w:r w:rsidRPr="00475828">
        <w:rPr>
          <w:rFonts w:cs="Arial"/>
          <w:lang w:val="cs-CZ"/>
        </w:rPr>
        <w:t>vybudované</w:t>
      </w:r>
      <w:r w:rsidR="00B36CAC" w:rsidRPr="00475828">
        <w:rPr>
          <w:rFonts w:cs="Arial"/>
          <w:lang w:val="cs-CZ"/>
        </w:rPr>
        <w:t xml:space="preserve">. K uzavírání dohod o sdílení </w:t>
      </w:r>
      <w:r w:rsidRPr="00475828">
        <w:rPr>
          <w:rFonts w:cs="Arial"/>
          <w:lang w:val="cs-CZ"/>
        </w:rPr>
        <w:t>4G sít</w:t>
      </w:r>
      <w:r w:rsidR="00B36CAC" w:rsidRPr="00475828">
        <w:rPr>
          <w:rFonts w:cs="Arial"/>
          <w:lang w:val="cs-CZ"/>
        </w:rPr>
        <w:t>í dochází často v době, kdy je velkou část sítě</w:t>
      </w:r>
      <w:r w:rsidRPr="00475828">
        <w:rPr>
          <w:rFonts w:cs="Arial"/>
          <w:lang w:val="cs-CZ"/>
        </w:rPr>
        <w:t xml:space="preserve"> potřeba teprve vybudovat. </w:t>
      </w:r>
      <w:r w:rsidR="00B36CAC" w:rsidRPr="00475828">
        <w:rPr>
          <w:rFonts w:cs="Arial"/>
          <w:lang w:val="cs-CZ"/>
        </w:rPr>
        <w:t xml:space="preserve">Dohody o sdílení 4G sítí proto většinou </w:t>
      </w:r>
      <w:r w:rsidR="004A74C7" w:rsidRPr="00475828">
        <w:rPr>
          <w:rFonts w:cs="Arial"/>
          <w:lang w:val="cs-CZ"/>
        </w:rPr>
        <w:t xml:space="preserve">předpokládají </w:t>
      </w:r>
      <w:r w:rsidR="00B36CAC" w:rsidRPr="00475828">
        <w:rPr>
          <w:rFonts w:cs="Arial"/>
          <w:lang w:val="cs-CZ"/>
        </w:rPr>
        <w:t xml:space="preserve">větší podíl společných nebo koordinovaných investic do výstavby sítě. </w:t>
      </w:r>
      <w:r w:rsidRPr="00475828">
        <w:rPr>
          <w:rFonts w:cs="Arial"/>
          <w:lang w:val="cs-CZ"/>
        </w:rPr>
        <w:t>Tento rozdíl může mít vliv na technologii</w:t>
      </w:r>
      <w:r w:rsidR="005B5FFC" w:rsidRPr="00475828">
        <w:rPr>
          <w:rFonts w:cs="Arial"/>
          <w:lang w:val="cs-CZ"/>
        </w:rPr>
        <w:t>,</w:t>
      </w:r>
      <w:r w:rsidRPr="00475828">
        <w:rPr>
          <w:rFonts w:cs="Arial"/>
          <w:lang w:val="cs-CZ"/>
        </w:rPr>
        <w:t xml:space="preserve"> funkcionalitu i charakter sdílení.</w:t>
      </w:r>
      <w:r w:rsidR="00A7793E" w:rsidRPr="00475828">
        <w:rPr>
          <w:rFonts w:cs="Arial"/>
          <w:lang w:val="cs-CZ"/>
        </w:rPr>
        <w:t xml:space="preserve"> V tomto dokumentu je sdílení 2G</w:t>
      </w:r>
      <w:r w:rsidR="005B5FFC" w:rsidRPr="00475828">
        <w:rPr>
          <w:rFonts w:cs="Arial"/>
          <w:lang w:val="cs-CZ"/>
        </w:rPr>
        <w:t xml:space="preserve"> a </w:t>
      </w:r>
      <w:r w:rsidR="00A7793E" w:rsidRPr="00475828">
        <w:rPr>
          <w:rFonts w:cs="Arial"/>
          <w:lang w:val="cs-CZ"/>
        </w:rPr>
        <w:t>3G sítí a sdílení 4G sítí analyzováno odděleně.</w:t>
      </w:r>
    </w:p>
    <w:p w14:paraId="1EC4E333" w14:textId="77777777" w:rsidR="00FE02CF" w:rsidRPr="00475828" w:rsidRDefault="00651514" w:rsidP="00DF4E36">
      <w:pPr>
        <w:keepLines/>
        <w:ind w:firstLine="567"/>
        <w:rPr>
          <w:rFonts w:cs="Arial"/>
          <w:lang w:val="cs-CZ"/>
        </w:rPr>
      </w:pPr>
      <w:r w:rsidRPr="00475828">
        <w:rPr>
          <w:rFonts w:cs="Arial"/>
          <w:lang w:val="cs-CZ"/>
        </w:rPr>
        <w:t>V České republice je síťová infrastruktura pro poskytov</w:t>
      </w:r>
      <w:r w:rsidR="008E0A87" w:rsidRPr="00475828">
        <w:rPr>
          <w:rFonts w:cs="Arial"/>
          <w:lang w:val="cs-CZ"/>
        </w:rPr>
        <w:t xml:space="preserve">ání 2G i 3G sítí již vybudovaná, což má vliv na účel sdílení sítě mezi </w:t>
      </w:r>
      <w:r w:rsidR="00FA76A2" w:rsidRPr="00475828">
        <w:rPr>
          <w:rFonts w:cs="Arial"/>
          <w:lang w:val="cs-CZ"/>
        </w:rPr>
        <w:t>TMCZ</w:t>
      </w:r>
      <w:r w:rsidR="008E0A87" w:rsidRPr="00475828">
        <w:rPr>
          <w:rFonts w:cs="Arial"/>
          <w:lang w:val="cs-CZ"/>
        </w:rPr>
        <w:t xml:space="preserve"> a O2.</w:t>
      </w:r>
      <w:r w:rsidR="0099391E" w:rsidRPr="00475828">
        <w:rPr>
          <w:rFonts w:cs="Arial"/>
          <w:lang w:val="cs-CZ"/>
        </w:rPr>
        <w:t xml:space="preserve"> </w:t>
      </w:r>
      <w:r w:rsidR="0099391E" w:rsidRPr="00EE3DAB">
        <w:rPr>
          <w:rFonts w:cs="Arial"/>
          <w:lang w:val="cs-CZ"/>
        </w:rPr>
        <w:t xml:space="preserve">Dle </w:t>
      </w:r>
      <w:r w:rsidR="00112806" w:rsidRPr="00EE3DAB">
        <w:rPr>
          <w:rFonts w:cs="Arial"/>
          <w:lang w:val="cs-CZ"/>
        </w:rPr>
        <w:t>S</w:t>
      </w:r>
      <w:r w:rsidR="0099391E" w:rsidRPr="00EE3DAB">
        <w:rPr>
          <w:rFonts w:cs="Arial"/>
          <w:lang w:val="cs-CZ"/>
        </w:rPr>
        <w:t xml:space="preserve">mlouvy o sdílení </w:t>
      </w:r>
      <w:r w:rsidR="00112806" w:rsidRPr="00EE3DAB">
        <w:rPr>
          <w:rFonts w:cs="Arial"/>
          <w:lang w:val="cs-CZ"/>
        </w:rPr>
        <w:t xml:space="preserve">sítí </w:t>
      </w:r>
      <w:r w:rsidR="0099391E" w:rsidRPr="00EE3DAB">
        <w:rPr>
          <w:rFonts w:cs="Arial"/>
          <w:lang w:val="cs-CZ"/>
        </w:rPr>
        <w:t>2G/3G</w:t>
      </w:r>
      <w:r w:rsidR="005B5FFC" w:rsidRPr="00EE3DAB">
        <w:rPr>
          <w:rFonts w:cs="Arial"/>
          <w:lang w:val="cs-CZ"/>
        </w:rPr>
        <w:t xml:space="preserve"> </w:t>
      </w:r>
      <w:r w:rsidR="0099391E" w:rsidRPr="00EE3DAB">
        <w:rPr>
          <w:rFonts w:cs="Arial"/>
          <w:lang w:val="cs-CZ"/>
        </w:rPr>
        <w:t>je účelem sdílení mimo jiné</w:t>
      </w:r>
      <w:r w:rsidRPr="00EE3DAB">
        <w:rPr>
          <w:rFonts w:cs="Arial"/>
          <w:lang w:val="cs-CZ"/>
        </w:rPr>
        <w:t xml:space="preserve"> </w:t>
      </w:r>
      <w:r w:rsidR="00633A52" w:rsidRPr="00EE3DAB">
        <w:rPr>
          <w:rFonts w:cs="Arial"/>
          <w:lang w:val="cs-CZ"/>
        </w:rPr>
        <w:t xml:space="preserve">posílení možnosti </w:t>
      </w:r>
      <w:r w:rsidR="0099391E" w:rsidRPr="00EE3DAB">
        <w:rPr>
          <w:rFonts w:cs="Arial"/>
          <w:lang w:val="cs-CZ"/>
        </w:rPr>
        <w:t>snížení kapitálových výdajů</w:t>
      </w:r>
      <w:r w:rsidR="008E0A87" w:rsidRPr="00EE3DAB">
        <w:rPr>
          <w:rFonts w:cs="Arial"/>
          <w:lang w:val="cs-CZ"/>
        </w:rPr>
        <w:t>, jehož bude dosaženo</w:t>
      </w:r>
      <w:r w:rsidR="0099391E" w:rsidRPr="00EE3DAB">
        <w:rPr>
          <w:rFonts w:cs="Arial"/>
          <w:lang w:val="cs-CZ"/>
        </w:rPr>
        <w:t xml:space="preserve"> investování</w:t>
      </w:r>
      <w:r w:rsidR="008E0A87" w:rsidRPr="00EE3DAB">
        <w:rPr>
          <w:rFonts w:cs="Arial"/>
          <w:lang w:val="cs-CZ"/>
        </w:rPr>
        <w:t>m do sdílené sítě</w:t>
      </w:r>
      <w:r w:rsidR="0099391E" w:rsidRPr="00EE3DAB">
        <w:rPr>
          <w:rFonts w:cs="Arial"/>
          <w:lang w:val="cs-CZ"/>
        </w:rPr>
        <w:t>, sdílení</w:t>
      </w:r>
      <w:r w:rsidR="008E0A87" w:rsidRPr="00EE3DAB">
        <w:rPr>
          <w:rFonts w:cs="Arial"/>
          <w:lang w:val="cs-CZ"/>
        </w:rPr>
        <w:t>m sítě</w:t>
      </w:r>
      <w:r w:rsidR="0099391E" w:rsidRPr="00EE3DAB">
        <w:rPr>
          <w:rFonts w:cs="Arial"/>
          <w:lang w:val="cs-CZ"/>
        </w:rPr>
        <w:t xml:space="preserve"> a optimalizac</w:t>
      </w:r>
      <w:r w:rsidR="008E0A87" w:rsidRPr="00EE3DAB">
        <w:rPr>
          <w:rFonts w:cs="Arial"/>
          <w:lang w:val="cs-CZ"/>
        </w:rPr>
        <w:t>í</w:t>
      </w:r>
      <w:r w:rsidR="0099391E" w:rsidRPr="00EE3DAB">
        <w:rPr>
          <w:rFonts w:cs="Arial"/>
          <w:lang w:val="cs-CZ"/>
        </w:rPr>
        <w:t xml:space="preserve"> </w:t>
      </w:r>
      <w:r w:rsidR="008E0A87" w:rsidRPr="00EE3DAB">
        <w:rPr>
          <w:rFonts w:cs="Arial"/>
          <w:lang w:val="cs-CZ"/>
        </w:rPr>
        <w:t>mobilních sítí a snížení</w:t>
      </w:r>
      <w:r w:rsidR="005B5FFC" w:rsidRPr="00EE3DAB">
        <w:rPr>
          <w:rFonts w:cs="Arial"/>
          <w:lang w:val="cs-CZ"/>
        </w:rPr>
        <w:t>m</w:t>
      </w:r>
      <w:r w:rsidR="008E0A87" w:rsidRPr="00EE3DAB">
        <w:rPr>
          <w:rFonts w:cs="Arial"/>
          <w:lang w:val="cs-CZ"/>
        </w:rPr>
        <w:t xml:space="preserve"> počtu provozovaných pasivních prvků mobilní sítě.</w:t>
      </w:r>
      <w:r w:rsidR="008E0A87" w:rsidRPr="00475828">
        <w:rPr>
          <w:rFonts w:cs="Arial"/>
          <w:lang w:val="cs-CZ"/>
        </w:rPr>
        <w:t xml:space="preserve"> </w:t>
      </w:r>
    </w:p>
    <w:p w14:paraId="024CEC14" w14:textId="77777777" w:rsidR="00524ED0" w:rsidRPr="00475828" w:rsidRDefault="008E0A87" w:rsidP="00DF4E36">
      <w:pPr>
        <w:keepLines/>
        <w:ind w:firstLine="567"/>
        <w:rPr>
          <w:rFonts w:cs="Arial"/>
          <w:lang w:val="cs-CZ"/>
        </w:rPr>
      </w:pPr>
      <w:r w:rsidRPr="00475828">
        <w:rPr>
          <w:rFonts w:cs="Arial"/>
          <w:lang w:val="cs-CZ"/>
        </w:rPr>
        <w:t>Odlišnou</w:t>
      </w:r>
      <w:r w:rsidR="00FE02CF" w:rsidRPr="00475828">
        <w:rPr>
          <w:rFonts w:cs="Arial"/>
          <w:lang w:val="cs-CZ"/>
        </w:rPr>
        <w:t xml:space="preserve"> motivaci ke sdílení sítí mohou mít nově vstupující operátoři, kteří nedisponují žádnými sítěmi 2G/3G. </w:t>
      </w:r>
      <w:r w:rsidRPr="00475828">
        <w:rPr>
          <w:rFonts w:cs="Arial"/>
          <w:lang w:val="cs-CZ"/>
        </w:rPr>
        <w:t xml:space="preserve">Vzhledem k nerovnému postavení </w:t>
      </w:r>
      <w:r w:rsidR="00E86905" w:rsidRPr="00475828">
        <w:rPr>
          <w:rFonts w:cs="Arial"/>
          <w:lang w:val="cs-CZ"/>
        </w:rPr>
        <w:t>nově vstupujících hráčů a</w:t>
      </w:r>
      <w:r w:rsidR="00247FC2">
        <w:rPr>
          <w:rFonts w:cs="Arial"/>
          <w:lang w:val="cs-CZ"/>
        </w:rPr>
        <w:t> </w:t>
      </w:r>
      <w:r w:rsidR="00E86905" w:rsidRPr="00475828">
        <w:rPr>
          <w:rFonts w:cs="Arial"/>
          <w:lang w:val="cs-CZ"/>
        </w:rPr>
        <w:t xml:space="preserve">stávajících operátorů držících příděly rádiových kmitočtů pro provozování 4G sítě </w:t>
      </w:r>
      <w:r w:rsidRPr="00475828">
        <w:rPr>
          <w:rFonts w:cs="Arial"/>
          <w:lang w:val="cs-CZ"/>
        </w:rPr>
        <w:t>dochází k</w:t>
      </w:r>
      <w:r w:rsidR="00524ED0" w:rsidRPr="00475828">
        <w:rPr>
          <w:rFonts w:cs="Arial"/>
          <w:lang w:val="cs-CZ"/>
        </w:rPr>
        <w:t> uložení povinnosti stávajícím operátorům poskytovat velkoobchodní nabídku nebo národní roaming po přechodnou dobu,</w:t>
      </w:r>
      <w:r w:rsidR="0092721F" w:rsidRPr="00475828">
        <w:rPr>
          <w:rStyle w:val="Znakapoznpodarou"/>
          <w:rFonts w:cs="Arial"/>
          <w:lang w:val="cs-CZ"/>
        </w:rPr>
        <w:footnoteReference w:id="11"/>
      </w:r>
      <w:r w:rsidR="00524ED0" w:rsidRPr="00475828">
        <w:rPr>
          <w:rFonts w:cs="Arial"/>
          <w:lang w:val="cs-CZ"/>
        </w:rPr>
        <w:t xml:space="preserve"> kdy vstupují</w:t>
      </w:r>
      <w:r w:rsidR="008D2ED9" w:rsidRPr="00475828">
        <w:rPr>
          <w:rFonts w:cs="Arial"/>
          <w:lang w:val="cs-CZ"/>
        </w:rPr>
        <w:t>cí operátor budu</w:t>
      </w:r>
      <w:r w:rsidR="00E86905" w:rsidRPr="00475828">
        <w:rPr>
          <w:rFonts w:cs="Arial"/>
          <w:lang w:val="cs-CZ"/>
        </w:rPr>
        <w:t xml:space="preserve">je </w:t>
      </w:r>
      <w:r w:rsidR="00524ED0" w:rsidRPr="00475828">
        <w:rPr>
          <w:rFonts w:cs="Arial"/>
          <w:lang w:val="cs-CZ"/>
        </w:rPr>
        <w:t xml:space="preserve">síť vlastní, případně uzavře jinou dohodu. Závazek národního roamingu vůči nově vstupujícímu operátorovi </w:t>
      </w:r>
      <w:r w:rsidR="0092721F" w:rsidRPr="00475828">
        <w:rPr>
          <w:rFonts w:cs="Arial"/>
          <w:lang w:val="cs-CZ"/>
        </w:rPr>
        <w:t xml:space="preserve">Úřad </w:t>
      </w:r>
      <w:r w:rsidR="00524ED0" w:rsidRPr="00475828">
        <w:rPr>
          <w:rFonts w:cs="Arial"/>
          <w:lang w:val="cs-CZ"/>
        </w:rPr>
        <w:t xml:space="preserve">předpokládal v podmínkách aukce kmitočtů na 4G sítě. Také v ostatních členských státech EU je uložení závazku národního roamingu standardním nástrojem </w:t>
      </w:r>
      <w:r w:rsidR="00E86905" w:rsidRPr="00475828">
        <w:rPr>
          <w:rFonts w:cs="Arial"/>
          <w:lang w:val="cs-CZ"/>
        </w:rPr>
        <w:t>regulátora</w:t>
      </w:r>
      <w:r w:rsidR="00524ED0" w:rsidRPr="00475828">
        <w:rPr>
          <w:rFonts w:cs="Arial"/>
          <w:lang w:val="cs-CZ"/>
        </w:rPr>
        <w:t xml:space="preserve">. </w:t>
      </w:r>
    </w:p>
    <w:p w14:paraId="5C0978DB" w14:textId="4903D469" w:rsidR="0050033A" w:rsidRPr="00475828" w:rsidRDefault="00524ED0" w:rsidP="00DF4E36">
      <w:pPr>
        <w:keepLines/>
        <w:ind w:firstLine="567"/>
        <w:rPr>
          <w:rFonts w:cs="Arial"/>
          <w:lang w:val="cs-CZ"/>
        </w:rPr>
      </w:pPr>
      <w:r w:rsidRPr="00475828">
        <w:rPr>
          <w:rFonts w:cs="Arial"/>
          <w:lang w:val="cs-CZ"/>
        </w:rPr>
        <w:t>Ještě v jiném postavení se nacházejí operátoři v případě trhu zcela nové</w:t>
      </w:r>
      <w:r w:rsidR="00E86905" w:rsidRPr="00475828">
        <w:rPr>
          <w:rFonts w:cs="Arial"/>
          <w:lang w:val="cs-CZ"/>
        </w:rPr>
        <w:t>ho</w:t>
      </w:r>
      <w:r w:rsidR="00AA72AB">
        <w:rPr>
          <w:rFonts w:cs="Arial"/>
          <w:lang w:val="cs-CZ"/>
        </w:rPr>
        <w:t>, kdy</w:t>
      </w:r>
      <w:r w:rsidRPr="00475828">
        <w:rPr>
          <w:rFonts w:cs="Arial"/>
          <w:lang w:val="cs-CZ"/>
        </w:rPr>
        <w:t xml:space="preserve"> síť musí být postavena </w:t>
      </w:r>
      <w:r w:rsidR="00E86905" w:rsidRPr="00475828">
        <w:rPr>
          <w:rFonts w:cs="Arial"/>
          <w:lang w:val="cs-CZ"/>
        </w:rPr>
        <w:t>od počátku (</w:t>
      </w:r>
      <w:r w:rsidRPr="00475828">
        <w:rPr>
          <w:rFonts w:cs="Arial"/>
          <w:lang w:val="cs-CZ"/>
        </w:rPr>
        <w:t xml:space="preserve">na tzv. </w:t>
      </w:r>
      <w:proofErr w:type="spellStart"/>
      <w:r w:rsidR="00C55E68" w:rsidRPr="00475828">
        <w:rPr>
          <w:rFonts w:cs="Arial"/>
          <w:lang w:val="cs-CZ"/>
        </w:rPr>
        <w:t>greenfieldu</w:t>
      </w:r>
      <w:proofErr w:type="spellEnd"/>
      <w:r w:rsidR="00E86905" w:rsidRPr="00475828">
        <w:rPr>
          <w:rFonts w:cs="Arial"/>
          <w:lang w:val="cs-CZ"/>
        </w:rPr>
        <w:t>)</w:t>
      </w:r>
      <w:r w:rsidRPr="00475828">
        <w:rPr>
          <w:rFonts w:cs="Arial"/>
          <w:lang w:val="cs-CZ"/>
        </w:rPr>
        <w:t xml:space="preserve">. V takové situaci vznikla </w:t>
      </w:r>
      <w:r w:rsidR="00112806" w:rsidRPr="00475828">
        <w:rPr>
          <w:rFonts w:cs="Arial"/>
          <w:lang w:val="cs-CZ"/>
        </w:rPr>
        <w:t>S</w:t>
      </w:r>
      <w:r w:rsidRPr="00475828">
        <w:rPr>
          <w:rFonts w:cs="Arial"/>
          <w:lang w:val="cs-CZ"/>
        </w:rPr>
        <w:t>mlouva o</w:t>
      </w:r>
      <w:r w:rsidR="005B6DAB">
        <w:rPr>
          <w:rFonts w:cs="Arial"/>
          <w:lang w:val="cs-CZ"/>
        </w:rPr>
        <w:t> </w:t>
      </w:r>
      <w:r w:rsidRPr="00475828">
        <w:rPr>
          <w:rFonts w:cs="Arial"/>
          <w:lang w:val="cs-CZ"/>
        </w:rPr>
        <w:t xml:space="preserve">sdílení </w:t>
      </w:r>
      <w:r w:rsidR="00112806" w:rsidRPr="00475828">
        <w:rPr>
          <w:rFonts w:cs="Arial"/>
          <w:lang w:val="cs-CZ"/>
        </w:rPr>
        <w:t xml:space="preserve">sítí </w:t>
      </w:r>
      <w:r w:rsidRPr="00475828">
        <w:rPr>
          <w:rFonts w:cs="Arial"/>
          <w:lang w:val="cs-CZ"/>
        </w:rPr>
        <w:t xml:space="preserve">4G mezi </w:t>
      </w:r>
      <w:r w:rsidR="00FA76A2" w:rsidRPr="00475828">
        <w:rPr>
          <w:rFonts w:cs="Arial"/>
          <w:lang w:val="cs-CZ"/>
        </w:rPr>
        <w:t>TMCZ</w:t>
      </w:r>
      <w:r w:rsidRPr="00475828">
        <w:rPr>
          <w:rFonts w:cs="Arial"/>
          <w:lang w:val="cs-CZ"/>
        </w:rPr>
        <w:t xml:space="preserve"> a O2. </w:t>
      </w:r>
    </w:p>
    <w:p w14:paraId="726E4F3C" w14:textId="77777777" w:rsidR="004955C7" w:rsidRPr="00475828" w:rsidRDefault="00983B42" w:rsidP="00DF4E36">
      <w:pPr>
        <w:pStyle w:val="Nadpis1"/>
        <w:keepNext w:val="0"/>
        <w:keepLines/>
        <w:numPr>
          <w:ilvl w:val="0"/>
          <w:numId w:val="3"/>
        </w:numPr>
        <w:spacing w:before="360"/>
        <w:rPr>
          <w:lang w:val="cs-CZ"/>
        </w:rPr>
      </w:pPr>
      <w:bookmarkStart w:id="96" w:name="_Toc301423670"/>
      <w:r w:rsidRPr="00475828">
        <w:rPr>
          <w:lang w:val="cs-CZ"/>
        </w:rPr>
        <w:t>Sdílení sítí</w:t>
      </w:r>
      <w:r w:rsidR="00AF69F1" w:rsidRPr="00475828">
        <w:rPr>
          <w:lang w:val="cs-CZ"/>
        </w:rPr>
        <w:t xml:space="preserve"> v</w:t>
      </w:r>
      <w:r w:rsidR="00A7793E" w:rsidRPr="00475828">
        <w:rPr>
          <w:lang w:val="cs-CZ"/>
        </w:rPr>
        <w:t xml:space="preserve"> členských státech EU</w:t>
      </w:r>
      <w:bookmarkEnd w:id="96"/>
    </w:p>
    <w:p w14:paraId="0CE2B44D" w14:textId="77777777" w:rsidR="002F3498" w:rsidRPr="00475828" w:rsidRDefault="00757B11" w:rsidP="00DF4E36">
      <w:pPr>
        <w:keepLines/>
        <w:ind w:firstLine="567"/>
        <w:rPr>
          <w:rFonts w:cs="Arial"/>
          <w:lang w:val="cs-CZ"/>
        </w:rPr>
      </w:pPr>
      <w:r w:rsidRPr="00475828">
        <w:rPr>
          <w:rFonts w:cs="Arial"/>
          <w:lang w:val="cs-CZ"/>
        </w:rPr>
        <w:t>Sdílení 2G, 3G i 4G sítí není v jiných členských státech EU výjimečným úkazem.</w:t>
      </w:r>
      <w:r w:rsidR="00C55E68" w:rsidRPr="00475828">
        <w:rPr>
          <w:rStyle w:val="Znakapoznpodarou"/>
          <w:rFonts w:cs="Arial"/>
          <w:lang w:val="cs-CZ"/>
        </w:rPr>
        <w:footnoteReference w:id="12"/>
      </w:r>
      <w:r w:rsidRPr="00475828">
        <w:rPr>
          <w:rFonts w:cs="Arial"/>
          <w:lang w:val="cs-CZ"/>
        </w:rPr>
        <w:t xml:space="preserve"> Dohody o</w:t>
      </w:r>
      <w:r w:rsidR="00247FC2">
        <w:rPr>
          <w:rFonts w:cs="Arial"/>
          <w:lang w:val="cs-CZ"/>
        </w:rPr>
        <w:t> </w:t>
      </w:r>
      <w:r w:rsidRPr="00475828">
        <w:rPr>
          <w:rFonts w:cs="Arial"/>
          <w:lang w:val="cs-CZ"/>
        </w:rPr>
        <w:t xml:space="preserve">sdílení sítí se nicméně napříč Evropou významně liší, ať už jde o rozsah sdílení, intenzitu spolupráce či technologická specifika jednotlivých dohod o sdílení sítí. </w:t>
      </w:r>
      <w:r w:rsidR="002F3498" w:rsidRPr="00475828">
        <w:rPr>
          <w:rFonts w:cs="Arial"/>
          <w:lang w:val="cs-CZ"/>
        </w:rPr>
        <w:t>Následující dvě podkapitoly porovnávají hlavní charakteristiky jednotlivých typů sdílení, které se v členských státech EU vyskytují. Dále se pak tato část dokumentu podrobně věnuje případov</w:t>
      </w:r>
      <w:r w:rsidR="00EE7426" w:rsidRPr="00475828">
        <w:rPr>
          <w:rFonts w:cs="Arial"/>
          <w:lang w:val="cs-CZ"/>
        </w:rPr>
        <w:t>é</w:t>
      </w:r>
      <w:r w:rsidR="002F3498" w:rsidRPr="00475828">
        <w:rPr>
          <w:rFonts w:cs="Arial"/>
          <w:lang w:val="cs-CZ"/>
        </w:rPr>
        <w:t xml:space="preserve"> studi</w:t>
      </w:r>
      <w:r w:rsidR="00EE7426" w:rsidRPr="00475828">
        <w:rPr>
          <w:rFonts w:cs="Arial"/>
          <w:lang w:val="cs-CZ"/>
        </w:rPr>
        <w:t>i</w:t>
      </w:r>
      <w:r w:rsidR="002F3498" w:rsidRPr="00475828">
        <w:rPr>
          <w:rFonts w:cs="Arial"/>
          <w:lang w:val="cs-CZ"/>
        </w:rPr>
        <w:t xml:space="preserve"> sdílení sítí ve Francii</w:t>
      </w:r>
      <w:r w:rsidR="00EE7426" w:rsidRPr="00475828">
        <w:rPr>
          <w:rFonts w:cs="Arial"/>
          <w:lang w:val="cs-CZ"/>
        </w:rPr>
        <w:t xml:space="preserve"> </w:t>
      </w:r>
      <w:r w:rsidR="002F3498" w:rsidRPr="00475828">
        <w:rPr>
          <w:rFonts w:cs="Arial"/>
          <w:lang w:val="cs-CZ"/>
        </w:rPr>
        <w:t>– zde jsou všechny aspekty popsány do detailu včetně analýzy zapojení národní</w:t>
      </w:r>
      <w:r w:rsidR="00EE7426" w:rsidRPr="00475828">
        <w:rPr>
          <w:rFonts w:cs="Arial"/>
          <w:lang w:val="cs-CZ"/>
        </w:rPr>
        <w:t>ho</w:t>
      </w:r>
      <w:r w:rsidR="002F3498" w:rsidRPr="00475828">
        <w:rPr>
          <w:rFonts w:cs="Arial"/>
          <w:lang w:val="cs-CZ"/>
        </w:rPr>
        <w:t xml:space="preserve"> </w:t>
      </w:r>
      <w:r w:rsidR="002F3498" w:rsidRPr="00475828">
        <w:rPr>
          <w:rFonts w:cs="Arial"/>
          <w:i/>
          <w:lang w:val="cs-CZ"/>
        </w:rPr>
        <w:t>ex ante</w:t>
      </w:r>
      <w:r w:rsidR="002F3498" w:rsidRPr="00475828">
        <w:rPr>
          <w:rFonts w:cs="Arial"/>
          <w:lang w:val="cs-CZ"/>
        </w:rPr>
        <w:t xml:space="preserve"> a </w:t>
      </w:r>
      <w:r w:rsidR="002F3498" w:rsidRPr="00475828">
        <w:rPr>
          <w:rFonts w:cs="Arial"/>
          <w:i/>
          <w:lang w:val="cs-CZ"/>
        </w:rPr>
        <w:t>ex post</w:t>
      </w:r>
      <w:r w:rsidR="002F3498" w:rsidRPr="00475828">
        <w:rPr>
          <w:rFonts w:cs="Arial"/>
          <w:lang w:val="cs-CZ"/>
        </w:rPr>
        <w:t xml:space="preserve"> regulátor</w:t>
      </w:r>
      <w:r w:rsidR="00EE7426" w:rsidRPr="00475828">
        <w:rPr>
          <w:rFonts w:cs="Arial"/>
          <w:lang w:val="cs-CZ"/>
        </w:rPr>
        <w:t>a</w:t>
      </w:r>
      <w:r w:rsidR="00CD7D37" w:rsidRPr="00475828">
        <w:rPr>
          <w:rFonts w:cs="Arial"/>
          <w:lang w:val="cs-CZ"/>
        </w:rPr>
        <w:t xml:space="preserve"> a ve Velké Británii</w:t>
      </w:r>
      <w:r w:rsidR="002F3498" w:rsidRPr="00475828">
        <w:rPr>
          <w:rFonts w:cs="Arial"/>
          <w:lang w:val="cs-CZ"/>
        </w:rPr>
        <w:t xml:space="preserve">.  </w:t>
      </w:r>
    </w:p>
    <w:p w14:paraId="702B990E" w14:textId="77777777" w:rsidR="00351B10" w:rsidRPr="00475828" w:rsidRDefault="00351B10" w:rsidP="001D143B">
      <w:pPr>
        <w:keepNext/>
        <w:keepLines/>
        <w:rPr>
          <w:rFonts w:cs="Arial"/>
          <w:lang w:val="cs-CZ"/>
        </w:rPr>
        <w:sectPr w:rsidR="00351B10" w:rsidRPr="00475828" w:rsidSect="000767E4">
          <w:footerReference w:type="default" r:id="rId12"/>
          <w:pgSz w:w="11906" w:h="16838" w:code="9"/>
          <w:pgMar w:top="1701" w:right="1797" w:bottom="1701" w:left="1701" w:header="709" w:footer="709" w:gutter="0"/>
          <w:pgNumType w:start="5"/>
          <w:cols w:space="708"/>
          <w:docGrid w:linePitch="360"/>
        </w:sectPr>
      </w:pPr>
    </w:p>
    <w:p w14:paraId="539B98EF" w14:textId="77777777" w:rsidR="004713D3" w:rsidRPr="00475828" w:rsidRDefault="000F741D" w:rsidP="00DF4E36">
      <w:pPr>
        <w:pStyle w:val="Nadpis2"/>
        <w:keepNext w:val="0"/>
        <w:keepLines/>
        <w:numPr>
          <w:ilvl w:val="1"/>
          <w:numId w:val="3"/>
        </w:numPr>
        <w:ind w:left="357" w:hanging="357"/>
      </w:pPr>
      <w:bookmarkStart w:id="97" w:name="_Toc301423671"/>
      <w:proofErr w:type="spellStart"/>
      <w:r w:rsidRPr="00475828">
        <w:lastRenderedPageBreak/>
        <w:t>Benchmark</w:t>
      </w:r>
      <w:proofErr w:type="spellEnd"/>
      <w:r w:rsidRPr="00475828">
        <w:t xml:space="preserve"> sdílení </w:t>
      </w:r>
      <w:r w:rsidR="001F3246" w:rsidRPr="00475828">
        <w:t xml:space="preserve">sítí </w:t>
      </w:r>
      <w:r w:rsidRPr="00475828">
        <w:t>2G,</w:t>
      </w:r>
      <w:r w:rsidR="004955C7" w:rsidRPr="00475828">
        <w:t xml:space="preserve"> 3G </w:t>
      </w:r>
      <w:r w:rsidRPr="00475828">
        <w:t>a 4G</w:t>
      </w:r>
      <w:bookmarkEnd w:id="97"/>
    </w:p>
    <w:tbl>
      <w:tblPr>
        <w:tblStyle w:val="Svtlmka1"/>
        <w:tblW w:w="4937" w:type="pct"/>
        <w:tblLayout w:type="fixed"/>
        <w:tblLook w:val="04A0" w:firstRow="1" w:lastRow="0" w:firstColumn="1" w:lastColumn="0" w:noHBand="0" w:noVBand="1"/>
      </w:tblPr>
      <w:tblGrid>
        <w:gridCol w:w="1085"/>
        <w:gridCol w:w="419"/>
        <w:gridCol w:w="419"/>
        <w:gridCol w:w="2092"/>
        <w:gridCol w:w="1676"/>
        <w:gridCol w:w="1397"/>
        <w:gridCol w:w="1670"/>
        <w:gridCol w:w="6426"/>
      </w:tblGrid>
      <w:tr w:rsidR="009470F3" w:rsidRPr="00475828" w14:paraId="645386E9" w14:textId="77777777" w:rsidTr="00DF7720">
        <w:trPr>
          <w:cnfStyle w:val="100000000000" w:firstRow="1" w:lastRow="0" w:firstColumn="0" w:lastColumn="0" w:oddVBand="0" w:evenVBand="0" w:oddHBand="0" w:evenHBand="0" w:firstRowFirstColumn="0" w:firstRowLastColumn="0" w:lastRowFirstColumn="0" w:lastRowLastColumn="0"/>
          <w:cantSplit/>
          <w:trHeight w:val="370"/>
          <w:tblHeader/>
        </w:trPr>
        <w:tc>
          <w:tcPr>
            <w:cnfStyle w:val="001000000000" w:firstRow="0" w:lastRow="0" w:firstColumn="1" w:lastColumn="0" w:oddVBand="0" w:evenVBand="0" w:oddHBand="0" w:evenHBand="0" w:firstRowFirstColumn="0" w:firstRowLastColumn="0" w:lastRowFirstColumn="0" w:lastRowLastColumn="0"/>
            <w:tcW w:w="357" w:type="pct"/>
            <w:shd w:val="clear" w:color="auto" w:fill="31849B" w:themeFill="accent5" w:themeFillShade="BF"/>
            <w:vAlign w:val="center"/>
          </w:tcPr>
          <w:p w14:paraId="1346E391" w14:textId="77777777" w:rsidR="00351B10" w:rsidRPr="00475828" w:rsidRDefault="00351B10" w:rsidP="00DF4E36">
            <w:pPr>
              <w:keepLines/>
              <w:jc w:val="left"/>
              <w:rPr>
                <w:rFonts w:cs="Arial"/>
                <w:sz w:val="16"/>
                <w:szCs w:val="16"/>
                <w:lang w:val="cs-CZ"/>
              </w:rPr>
            </w:pPr>
            <w:r w:rsidRPr="00475828">
              <w:rPr>
                <w:rFonts w:cs="Arial"/>
                <w:sz w:val="16"/>
                <w:szCs w:val="16"/>
                <w:lang w:val="cs-CZ"/>
              </w:rPr>
              <w:t>Země</w:t>
            </w:r>
          </w:p>
        </w:tc>
        <w:tc>
          <w:tcPr>
            <w:tcW w:w="138" w:type="pct"/>
            <w:shd w:val="clear" w:color="auto" w:fill="31849B" w:themeFill="accent5" w:themeFillShade="BF"/>
            <w:textDirection w:val="btLr"/>
            <w:vAlign w:val="center"/>
          </w:tcPr>
          <w:p w14:paraId="2194E3E1" w14:textId="77777777" w:rsidR="00351B10" w:rsidRPr="00475828" w:rsidRDefault="00351B10" w:rsidP="00DF4E36">
            <w:pPr>
              <w:keepLines/>
              <w:ind w:left="113" w:right="113"/>
              <w:jc w:val="left"/>
              <w:cnfStyle w:val="100000000000" w:firstRow="1" w:lastRow="0" w:firstColumn="0" w:lastColumn="0" w:oddVBand="0" w:evenVBand="0" w:oddHBand="0" w:evenHBand="0" w:firstRowFirstColumn="0" w:firstRowLastColumn="0" w:lastRowFirstColumn="0" w:lastRowLastColumn="0"/>
              <w:rPr>
                <w:rFonts w:cs="Arial"/>
                <w:sz w:val="16"/>
                <w:szCs w:val="16"/>
                <w:lang w:val="cs-CZ"/>
              </w:rPr>
            </w:pPr>
            <w:r w:rsidRPr="00475828">
              <w:rPr>
                <w:rFonts w:cs="Arial"/>
                <w:sz w:val="16"/>
                <w:szCs w:val="16"/>
                <w:lang w:val="cs-CZ"/>
              </w:rPr>
              <w:t>2G/3G</w:t>
            </w:r>
          </w:p>
        </w:tc>
        <w:tc>
          <w:tcPr>
            <w:tcW w:w="138" w:type="pct"/>
            <w:shd w:val="clear" w:color="auto" w:fill="31849B" w:themeFill="accent5" w:themeFillShade="BF"/>
            <w:textDirection w:val="btLr"/>
            <w:vAlign w:val="center"/>
          </w:tcPr>
          <w:p w14:paraId="67F6FD09" w14:textId="77777777" w:rsidR="00351B10" w:rsidRPr="00475828" w:rsidRDefault="00351B10" w:rsidP="00DF4E36">
            <w:pPr>
              <w:keepLines/>
              <w:ind w:left="113" w:right="113"/>
              <w:jc w:val="left"/>
              <w:cnfStyle w:val="100000000000" w:firstRow="1" w:lastRow="0" w:firstColumn="0" w:lastColumn="0" w:oddVBand="0" w:evenVBand="0" w:oddHBand="0" w:evenHBand="0" w:firstRowFirstColumn="0" w:firstRowLastColumn="0" w:lastRowFirstColumn="0" w:lastRowLastColumn="0"/>
              <w:rPr>
                <w:rFonts w:cs="Arial"/>
                <w:sz w:val="16"/>
                <w:szCs w:val="16"/>
                <w:lang w:val="cs-CZ"/>
              </w:rPr>
            </w:pPr>
            <w:r w:rsidRPr="00475828">
              <w:rPr>
                <w:rFonts w:cs="Arial"/>
                <w:sz w:val="16"/>
                <w:szCs w:val="16"/>
                <w:lang w:val="cs-CZ"/>
              </w:rPr>
              <w:t>4G</w:t>
            </w:r>
          </w:p>
        </w:tc>
        <w:tc>
          <w:tcPr>
            <w:tcW w:w="689" w:type="pct"/>
            <w:shd w:val="clear" w:color="auto" w:fill="31849B" w:themeFill="accent5" w:themeFillShade="BF"/>
            <w:vAlign w:val="center"/>
          </w:tcPr>
          <w:p w14:paraId="09563B5B" w14:textId="77777777" w:rsidR="00351B10" w:rsidRPr="00475828" w:rsidRDefault="00351B10" w:rsidP="00DF4E36">
            <w:pPr>
              <w:keepLines/>
              <w:jc w:val="left"/>
              <w:cnfStyle w:val="100000000000" w:firstRow="1" w:lastRow="0" w:firstColumn="0" w:lastColumn="0" w:oddVBand="0" w:evenVBand="0" w:oddHBand="0" w:evenHBand="0" w:firstRowFirstColumn="0" w:firstRowLastColumn="0" w:lastRowFirstColumn="0" w:lastRowLastColumn="0"/>
              <w:rPr>
                <w:rFonts w:cs="Arial"/>
                <w:sz w:val="16"/>
                <w:szCs w:val="16"/>
                <w:lang w:val="cs-CZ"/>
              </w:rPr>
            </w:pPr>
            <w:r w:rsidRPr="00475828">
              <w:rPr>
                <w:rFonts w:cs="Arial"/>
                <w:sz w:val="16"/>
                <w:szCs w:val="16"/>
                <w:lang w:val="cs-CZ"/>
              </w:rPr>
              <w:t xml:space="preserve">Sdílející </w:t>
            </w:r>
            <w:proofErr w:type="spellStart"/>
            <w:r w:rsidRPr="00475828">
              <w:rPr>
                <w:rFonts w:cs="Arial"/>
                <w:sz w:val="16"/>
                <w:szCs w:val="16"/>
                <w:lang w:val="cs-CZ"/>
              </w:rPr>
              <w:t>MNOs</w:t>
            </w:r>
            <w:proofErr w:type="spellEnd"/>
            <w:r w:rsidRPr="00475828">
              <w:rPr>
                <w:rFonts w:cs="Arial"/>
                <w:sz w:val="16"/>
                <w:szCs w:val="16"/>
                <w:lang w:val="cs-CZ"/>
              </w:rPr>
              <w:t xml:space="preserve"> a jejich podíly na trhu </w:t>
            </w:r>
          </w:p>
        </w:tc>
        <w:tc>
          <w:tcPr>
            <w:tcW w:w="552" w:type="pct"/>
            <w:shd w:val="clear" w:color="auto" w:fill="31849B" w:themeFill="accent5" w:themeFillShade="BF"/>
            <w:vAlign w:val="center"/>
          </w:tcPr>
          <w:p w14:paraId="4C2FD9EA" w14:textId="77777777" w:rsidR="00351B10" w:rsidRPr="00475828" w:rsidRDefault="00351B10" w:rsidP="00DF4E36">
            <w:pPr>
              <w:keepLines/>
              <w:jc w:val="left"/>
              <w:cnfStyle w:val="100000000000" w:firstRow="1" w:lastRow="0" w:firstColumn="0" w:lastColumn="0" w:oddVBand="0" w:evenVBand="0" w:oddHBand="0" w:evenHBand="0" w:firstRowFirstColumn="0" w:firstRowLastColumn="0" w:lastRowFirstColumn="0" w:lastRowLastColumn="0"/>
              <w:rPr>
                <w:rFonts w:cs="Arial"/>
                <w:sz w:val="16"/>
                <w:szCs w:val="16"/>
                <w:lang w:val="cs-CZ"/>
              </w:rPr>
            </w:pPr>
            <w:r w:rsidRPr="00475828">
              <w:rPr>
                <w:rFonts w:cs="Arial"/>
                <w:sz w:val="16"/>
                <w:szCs w:val="16"/>
                <w:lang w:val="cs-CZ"/>
              </w:rPr>
              <w:t>Forma sdílení</w:t>
            </w:r>
          </w:p>
        </w:tc>
        <w:tc>
          <w:tcPr>
            <w:tcW w:w="460" w:type="pct"/>
            <w:shd w:val="clear" w:color="auto" w:fill="31849B" w:themeFill="accent5" w:themeFillShade="BF"/>
            <w:vAlign w:val="center"/>
          </w:tcPr>
          <w:p w14:paraId="62C7C743" w14:textId="77777777" w:rsidR="00351B10" w:rsidRPr="00475828" w:rsidRDefault="00351B10" w:rsidP="00DF4E36">
            <w:pPr>
              <w:keepLines/>
              <w:jc w:val="left"/>
              <w:cnfStyle w:val="100000000000" w:firstRow="1" w:lastRow="0" w:firstColumn="0" w:lastColumn="0" w:oddVBand="0" w:evenVBand="0" w:oddHBand="0" w:evenHBand="0" w:firstRowFirstColumn="0" w:firstRowLastColumn="0" w:lastRowFirstColumn="0" w:lastRowLastColumn="0"/>
              <w:rPr>
                <w:rFonts w:cs="Arial"/>
                <w:sz w:val="16"/>
                <w:szCs w:val="16"/>
                <w:lang w:val="cs-CZ"/>
              </w:rPr>
            </w:pPr>
            <w:r w:rsidRPr="00475828">
              <w:rPr>
                <w:rFonts w:cs="Arial"/>
                <w:sz w:val="16"/>
                <w:szCs w:val="16"/>
                <w:lang w:val="cs-CZ"/>
              </w:rPr>
              <w:t>Období sdílení</w:t>
            </w:r>
          </w:p>
        </w:tc>
        <w:tc>
          <w:tcPr>
            <w:tcW w:w="550" w:type="pct"/>
            <w:shd w:val="clear" w:color="auto" w:fill="31849B" w:themeFill="accent5" w:themeFillShade="BF"/>
            <w:vAlign w:val="center"/>
          </w:tcPr>
          <w:p w14:paraId="25344CB4" w14:textId="77777777" w:rsidR="00351B10" w:rsidRPr="00475828" w:rsidRDefault="00351B10" w:rsidP="00DF4E36">
            <w:pPr>
              <w:keepLines/>
              <w:jc w:val="left"/>
              <w:cnfStyle w:val="100000000000" w:firstRow="1" w:lastRow="0" w:firstColumn="0" w:lastColumn="0" w:oddVBand="0" w:evenVBand="0" w:oddHBand="0" w:evenHBand="0" w:firstRowFirstColumn="0" w:firstRowLastColumn="0" w:lastRowFirstColumn="0" w:lastRowLastColumn="0"/>
              <w:rPr>
                <w:rFonts w:cs="Arial"/>
                <w:sz w:val="16"/>
                <w:szCs w:val="16"/>
                <w:lang w:val="cs-CZ"/>
              </w:rPr>
            </w:pPr>
            <w:r w:rsidRPr="00475828">
              <w:rPr>
                <w:rFonts w:cs="Arial"/>
                <w:sz w:val="16"/>
                <w:szCs w:val="16"/>
                <w:lang w:val="cs-CZ"/>
              </w:rPr>
              <w:t>Základní podmínky sdílení</w:t>
            </w:r>
          </w:p>
        </w:tc>
        <w:tc>
          <w:tcPr>
            <w:tcW w:w="2116" w:type="pct"/>
            <w:shd w:val="clear" w:color="auto" w:fill="31849B" w:themeFill="accent5" w:themeFillShade="BF"/>
            <w:vAlign w:val="center"/>
          </w:tcPr>
          <w:p w14:paraId="626F566D" w14:textId="77777777" w:rsidR="00351B10" w:rsidRPr="00475828" w:rsidRDefault="00351B10" w:rsidP="00DF4E36">
            <w:pPr>
              <w:keepLines/>
              <w:jc w:val="left"/>
              <w:cnfStyle w:val="100000000000" w:firstRow="1" w:lastRow="0" w:firstColumn="0" w:lastColumn="0" w:oddVBand="0" w:evenVBand="0" w:oddHBand="0" w:evenHBand="0" w:firstRowFirstColumn="0" w:firstRowLastColumn="0" w:lastRowFirstColumn="0" w:lastRowLastColumn="0"/>
              <w:rPr>
                <w:rFonts w:cs="Arial"/>
                <w:sz w:val="16"/>
                <w:szCs w:val="16"/>
                <w:lang w:val="cs-CZ"/>
              </w:rPr>
            </w:pPr>
            <w:r w:rsidRPr="00475828">
              <w:rPr>
                <w:rFonts w:cs="Arial"/>
                <w:sz w:val="16"/>
                <w:szCs w:val="16"/>
                <w:lang w:val="cs-CZ"/>
              </w:rPr>
              <w:t>Vyjádření regulátora či Komise</w:t>
            </w:r>
          </w:p>
        </w:tc>
      </w:tr>
      <w:tr w:rsidR="005D6008" w:rsidRPr="00843D00" w14:paraId="1CA092B1" w14:textId="77777777" w:rsidTr="00DF7720">
        <w:trPr>
          <w:cnfStyle w:val="000000100000" w:firstRow="0" w:lastRow="0" w:firstColumn="0" w:lastColumn="0" w:oddVBand="0" w:evenVBand="0" w:oddHBand="1" w:evenHBand="0" w:firstRowFirstColumn="0" w:firstRowLastColumn="0" w:lastRowFirstColumn="0" w:lastRowLastColumn="0"/>
          <w:cantSplit/>
          <w:trHeight w:val="5628"/>
        </w:trPr>
        <w:tc>
          <w:tcPr>
            <w:cnfStyle w:val="001000000000" w:firstRow="0" w:lastRow="0" w:firstColumn="1" w:lastColumn="0" w:oddVBand="0" w:evenVBand="0" w:oddHBand="0" w:evenHBand="0" w:firstRowFirstColumn="0" w:firstRowLastColumn="0" w:lastRowFirstColumn="0" w:lastRowLastColumn="0"/>
            <w:tcW w:w="357" w:type="pct"/>
          </w:tcPr>
          <w:p w14:paraId="736B8763" w14:textId="77777777" w:rsidR="00351B10" w:rsidRPr="00106E53" w:rsidRDefault="00351B10" w:rsidP="00DF4E36">
            <w:pPr>
              <w:keepLines/>
              <w:jc w:val="left"/>
              <w:rPr>
                <w:rFonts w:cs="Arial"/>
                <w:sz w:val="16"/>
                <w:szCs w:val="16"/>
                <w:lang w:val="cs-CZ"/>
              </w:rPr>
            </w:pPr>
            <w:r w:rsidRPr="00106E53">
              <w:rPr>
                <w:rFonts w:cs="Arial"/>
                <w:sz w:val="16"/>
                <w:szCs w:val="16"/>
                <w:lang w:val="cs-CZ"/>
              </w:rPr>
              <w:t>Dánsko</w:t>
            </w:r>
          </w:p>
        </w:tc>
        <w:tc>
          <w:tcPr>
            <w:tcW w:w="138" w:type="pct"/>
          </w:tcPr>
          <w:p w14:paraId="7F35CCA2"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sym w:font="Wingdings" w:char="F0FC"/>
            </w:r>
          </w:p>
        </w:tc>
        <w:tc>
          <w:tcPr>
            <w:tcW w:w="138" w:type="pct"/>
          </w:tcPr>
          <w:p w14:paraId="4DF863CD"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sym w:font="Wingdings" w:char="F0FC"/>
            </w:r>
          </w:p>
        </w:tc>
        <w:tc>
          <w:tcPr>
            <w:tcW w:w="689" w:type="pct"/>
          </w:tcPr>
          <w:p w14:paraId="4D19A08A"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proofErr w:type="spellStart"/>
            <w:r w:rsidRPr="00106E53">
              <w:rPr>
                <w:rFonts w:cs="Arial"/>
                <w:b/>
                <w:sz w:val="16"/>
                <w:szCs w:val="16"/>
                <w:lang w:val="cs-CZ"/>
              </w:rPr>
              <w:t>Telenor</w:t>
            </w:r>
            <w:proofErr w:type="spellEnd"/>
            <w:r w:rsidRPr="00106E53">
              <w:rPr>
                <w:rFonts w:cs="Arial"/>
                <w:b/>
                <w:sz w:val="16"/>
                <w:szCs w:val="16"/>
                <w:lang w:val="cs-CZ"/>
              </w:rPr>
              <w:t xml:space="preserve"> </w:t>
            </w:r>
            <w:r w:rsidRPr="00475828">
              <w:rPr>
                <w:rFonts w:cs="Arial"/>
                <w:sz w:val="16"/>
                <w:szCs w:val="16"/>
                <w:lang w:val="cs-CZ"/>
              </w:rPr>
              <w:t xml:space="preserve"> (20-30% na trhu mobilní telefonie, 20-30% na trhu mobilního širokopásmového přístupu)</w:t>
            </w:r>
          </w:p>
          <w:p w14:paraId="6B30ABA4"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106E53">
              <w:rPr>
                <w:rFonts w:cs="Arial"/>
                <w:b/>
                <w:sz w:val="16"/>
                <w:szCs w:val="16"/>
                <w:lang w:val="cs-CZ"/>
              </w:rPr>
              <w:t xml:space="preserve">Telia </w:t>
            </w:r>
            <w:r w:rsidRPr="00475828">
              <w:rPr>
                <w:rFonts w:cs="Arial"/>
                <w:sz w:val="16"/>
                <w:szCs w:val="16"/>
                <w:lang w:val="cs-CZ"/>
              </w:rPr>
              <w:t>(20-30% na trhu mobilní telefonie, 0-10% na trhu mobilního širokopásmového přístupu)</w:t>
            </w:r>
          </w:p>
          <w:p w14:paraId="4535A6CB" w14:textId="77777777" w:rsidR="00106E53" w:rsidRDefault="00106E53"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p>
          <w:p w14:paraId="364C8919" w14:textId="77777777" w:rsidR="00106E53"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proofErr w:type="spellStart"/>
            <w:r w:rsidRPr="00475828">
              <w:rPr>
                <w:rFonts w:cs="Arial"/>
                <w:sz w:val="16"/>
                <w:szCs w:val="16"/>
                <w:lang w:val="cs-CZ"/>
              </w:rPr>
              <w:t>Telenor</w:t>
            </w:r>
            <w:proofErr w:type="spellEnd"/>
            <w:r w:rsidRPr="00475828">
              <w:rPr>
                <w:rFonts w:cs="Arial"/>
                <w:sz w:val="16"/>
                <w:szCs w:val="16"/>
                <w:lang w:val="cs-CZ"/>
              </w:rPr>
              <w:t xml:space="preserve"> a Telia jsou 2. a 3. největšími operátory na dánském retailovém trhu, kde působí ještě TDC (největší operátor na retailovém trhu) a Hi3G (nejmenší). </w:t>
            </w:r>
          </w:p>
          <w:p w14:paraId="31344545"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t xml:space="preserve">Na velkoobchodním trhu je </w:t>
            </w:r>
            <w:proofErr w:type="spellStart"/>
            <w:r w:rsidRPr="00475828">
              <w:rPr>
                <w:rFonts w:cs="Arial"/>
                <w:sz w:val="16"/>
                <w:szCs w:val="16"/>
                <w:lang w:val="cs-CZ"/>
              </w:rPr>
              <w:t>Telenor</w:t>
            </w:r>
            <w:proofErr w:type="spellEnd"/>
            <w:r w:rsidRPr="00475828">
              <w:rPr>
                <w:rFonts w:cs="Arial"/>
                <w:sz w:val="16"/>
                <w:szCs w:val="16"/>
                <w:lang w:val="cs-CZ"/>
              </w:rPr>
              <w:t xml:space="preserve"> největší a Telia třetí; Hi3G na velkoobchodním trhu nepůsobí. </w:t>
            </w:r>
          </w:p>
          <w:p w14:paraId="3D5242F4"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p>
        </w:tc>
        <w:tc>
          <w:tcPr>
            <w:tcW w:w="552" w:type="pct"/>
          </w:tcPr>
          <w:p w14:paraId="17DF7125"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t xml:space="preserve">RAN </w:t>
            </w:r>
            <w:proofErr w:type="spellStart"/>
            <w:r w:rsidRPr="00475828">
              <w:rPr>
                <w:rFonts w:cs="Arial"/>
                <w:sz w:val="16"/>
                <w:szCs w:val="16"/>
                <w:lang w:val="cs-CZ"/>
              </w:rPr>
              <w:t>sharing</w:t>
            </w:r>
            <w:proofErr w:type="spellEnd"/>
            <w:r w:rsidRPr="00475828">
              <w:rPr>
                <w:rFonts w:cs="Arial"/>
                <w:sz w:val="16"/>
                <w:szCs w:val="16"/>
                <w:lang w:val="cs-CZ"/>
              </w:rPr>
              <w:t xml:space="preserve"> + sdílení spektra</w:t>
            </w:r>
          </w:p>
          <w:p w14:paraId="72045E7F"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p>
          <w:p w14:paraId="2CAA27F9"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t>2600 MHz</w:t>
            </w:r>
          </w:p>
          <w:p w14:paraId="16CC3C6C"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p>
          <w:p w14:paraId="3436C138"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t>V budoucnu je možné rozšíření sdílení také pro LTE-A.</w:t>
            </w:r>
          </w:p>
          <w:p w14:paraId="339F4DD9"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t>Spojení vedlo k</w:t>
            </w:r>
            <w:r w:rsidR="00247FC2">
              <w:rPr>
                <w:rFonts w:cs="Arial"/>
                <w:sz w:val="16"/>
                <w:szCs w:val="16"/>
                <w:lang w:val="cs-CZ"/>
              </w:rPr>
              <w:t> </w:t>
            </w:r>
            <w:r w:rsidRPr="00475828">
              <w:rPr>
                <w:rFonts w:cs="Arial"/>
                <w:sz w:val="16"/>
                <w:szCs w:val="16"/>
                <w:lang w:val="cs-CZ"/>
              </w:rPr>
              <w:t xml:space="preserve">vytvoření </w:t>
            </w:r>
            <w:r w:rsidR="00950FDF">
              <w:rPr>
                <w:rFonts w:cs="Arial"/>
                <w:sz w:val="16"/>
                <w:szCs w:val="16"/>
                <w:lang w:val="cs-CZ"/>
              </w:rPr>
              <w:t>JV</w:t>
            </w:r>
            <w:r w:rsidRPr="00475828">
              <w:rPr>
                <w:rFonts w:cs="Arial"/>
                <w:sz w:val="16"/>
                <w:szCs w:val="16"/>
                <w:lang w:val="cs-CZ"/>
              </w:rPr>
              <w:t xml:space="preserve"> společnosti TT-</w:t>
            </w:r>
            <w:proofErr w:type="spellStart"/>
            <w:r w:rsidRPr="00475828">
              <w:rPr>
                <w:rFonts w:cs="Arial"/>
                <w:sz w:val="16"/>
                <w:szCs w:val="16"/>
                <w:lang w:val="cs-CZ"/>
              </w:rPr>
              <w:t>Netvaerket</w:t>
            </w:r>
            <w:proofErr w:type="spellEnd"/>
            <w:r w:rsidRPr="00475828">
              <w:rPr>
                <w:rFonts w:cs="Arial"/>
                <w:sz w:val="16"/>
                <w:szCs w:val="16"/>
                <w:lang w:val="cs-CZ"/>
              </w:rPr>
              <w:t>, která, provozuje sdílenou infrastrukturu; v</w:t>
            </w:r>
            <w:r w:rsidR="00247FC2">
              <w:rPr>
                <w:rFonts w:cs="Arial"/>
                <w:sz w:val="16"/>
                <w:szCs w:val="16"/>
                <w:lang w:val="cs-CZ"/>
              </w:rPr>
              <w:t> </w:t>
            </w:r>
            <w:r w:rsidRPr="00475828">
              <w:rPr>
                <w:rFonts w:cs="Arial"/>
                <w:sz w:val="16"/>
                <w:szCs w:val="16"/>
                <w:lang w:val="cs-CZ"/>
              </w:rPr>
              <w:t xml:space="preserve">prosinci 2014 oznámili </w:t>
            </w:r>
            <w:proofErr w:type="spellStart"/>
            <w:r w:rsidRPr="00475828">
              <w:rPr>
                <w:rFonts w:cs="Arial"/>
                <w:sz w:val="16"/>
                <w:szCs w:val="16"/>
                <w:lang w:val="cs-CZ"/>
              </w:rPr>
              <w:t>Telenor</w:t>
            </w:r>
            <w:proofErr w:type="spellEnd"/>
            <w:r w:rsidRPr="00475828">
              <w:rPr>
                <w:rFonts w:cs="Arial"/>
                <w:sz w:val="16"/>
                <w:szCs w:val="16"/>
                <w:lang w:val="cs-CZ"/>
              </w:rPr>
              <w:t xml:space="preserve"> a</w:t>
            </w:r>
            <w:r w:rsidR="00247FC2">
              <w:rPr>
                <w:rFonts w:cs="Arial"/>
                <w:sz w:val="16"/>
                <w:szCs w:val="16"/>
                <w:lang w:val="cs-CZ"/>
              </w:rPr>
              <w:t> </w:t>
            </w:r>
            <w:r w:rsidRPr="00475828">
              <w:rPr>
                <w:rFonts w:cs="Arial"/>
                <w:sz w:val="16"/>
                <w:szCs w:val="16"/>
                <w:lang w:val="cs-CZ"/>
              </w:rPr>
              <w:t>Telia spojení, které podléhá schválení Komise a</w:t>
            </w:r>
            <w:r w:rsidR="00247FC2">
              <w:rPr>
                <w:rFonts w:cs="Arial"/>
                <w:sz w:val="16"/>
                <w:szCs w:val="16"/>
                <w:lang w:val="cs-CZ"/>
              </w:rPr>
              <w:t> </w:t>
            </w:r>
            <w:r w:rsidRPr="00475828">
              <w:rPr>
                <w:rFonts w:cs="Arial"/>
                <w:sz w:val="16"/>
                <w:szCs w:val="16"/>
                <w:lang w:val="cs-CZ"/>
              </w:rPr>
              <w:t>mělo by být rozhodnuto v r. 2015</w:t>
            </w:r>
            <w:r w:rsidR="00106E53">
              <w:rPr>
                <w:rFonts w:cs="Arial"/>
                <w:sz w:val="16"/>
                <w:szCs w:val="16"/>
                <w:lang w:val="cs-CZ"/>
              </w:rPr>
              <w:t>.</w:t>
            </w:r>
            <w:r w:rsidRPr="00475828">
              <w:rPr>
                <w:rStyle w:val="Znakapoznpodarou"/>
                <w:rFonts w:cs="Arial"/>
                <w:sz w:val="16"/>
                <w:szCs w:val="16"/>
                <w:lang w:val="cs-CZ"/>
              </w:rPr>
              <w:footnoteReference w:id="13"/>
            </w:r>
          </w:p>
        </w:tc>
        <w:tc>
          <w:tcPr>
            <w:tcW w:w="460" w:type="pct"/>
          </w:tcPr>
          <w:p w14:paraId="017A42C5"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t>Od 2011</w:t>
            </w:r>
          </w:p>
          <w:p w14:paraId="4A60373D"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p>
          <w:p w14:paraId="6833F76D"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t xml:space="preserve">Smlouva je </w:t>
            </w:r>
            <w:r w:rsidR="00A163E1">
              <w:rPr>
                <w:rFonts w:cs="Arial"/>
                <w:sz w:val="16"/>
                <w:szCs w:val="16"/>
                <w:lang w:val="cs-CZ"/>
              </w:rPr>
              <w:t>uzavřena</w:t>
            </w:r>
            <w:r w:rsidR="00950FDF">
              <w:rPr>
                <w:rFonts w:cs="Arial"/>
                <w:sz w:val="16"/>
                <w:szCs w:val="16"/>
                <w:lang w:val="cs-CZ"/>
              </w:rPr>
              <w:t xml:space="preserve"> </w:t>
            </w:r>
            <w:r w:rsidRPr="00475828">
              <w:rPr>
                <w:rFonts w:cs="Arial"/>
                <w:sz w:val="16"/>
                <w:szCs w:val="16"/>
                <w:lang w:val="cs-CZ"/>
              </w:rPr>
              <w:t>na dobu neurčitou, výpověď není možná dříve než k</w:t>
            </w:r>
            <w:r w:rsidR="00AC6783">
              <w:rPr>
                <w:rFonts w:cs="Arial"/>
                <w:sz w:val="16"/>
                <w:szCs w:val="16"/>
                <w:lang w:val="cs-CZ"/>
              </w:rPr>
              <w:t> </w:t>
            </w:r>
            <w:r w:rsidRPr="00475828">
              <w:rPr>
                <w:rFonts w:cs="Arial"/>
                <w:sz w:val="16"/>
                <w:szCs w:val="16"/>
                <w:lang w:val="cs-CZ"/>
              </w:rPr>
              <w:t>1/1/2020.</w:t>
            </w:r>
            <w:r w:rsidRPr="00475828">
              <w:rPr>
                <w:rStyle w:val="Znakapoznpodarou"/>
                <w:rFonts w:cs="Arial"/>
                <w:sz w:val="16"/>
                <w:szCs w:val="16"/>
                <w:lang w:val="cs-CZ"/>
              </w:rPr>
              <w:footnoteReference w:id="14"/>
            </w:r>
          </w:p>
        </w:tc>
        <w:tc>
          <w:tcPr>
            <w:tcW w:w="550" w:type="pct"/>
          </w:tcPr>
          <w:p w14:paraId="2CA7F4DA" w14:textId="03B9318A"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t>Sdílení fyzické infrastruktury (stožáry, antény a</w:t>
            </w:r>
            <w:r w:rsidR="00247FC2">
              <w:rPr>
                <w:rFonts w:cs="Arial"/>
                <w:sz w:val="16"/>
                <w:szCs w:val="16"/>
                <w:lang w:val="cs-CZ"/>
              </w:rPr>
              <w:t> </w:t>
            </w:r>
            <w:r w:rsidRPr="00475828">
              <w:rPr>
                <w:rFonts w:cs="Arial"/>
                <w:sz w:val="16"/>
                <w:szCs w:val="16"/>
                <w:lang w:val="cs-CZ"/>
              </w:rPr>
              <w:t>další) a také sdílení spektra</w:t>
            </w:r>
          </w:p>
          <w:p w14:paraId="42692A62"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t>Před uzavřením smlouvy, po dobu cca 3-5 měsíců, si strany vzájemně poskytnou informace technického a</w:t>
            </w:r>
            <w:r w:rsidR="00247FC2">
              <w:rPr>
                <w:rFonts w:cs="Arial"/>
                <w:sz w:val="16"/>
                <w:szCs w:val="16"/>
                <w:lang w:val="cs-CZ"/>
              </w:rPr>
              <w:t> </w:t>
            </w:r>
            <w:r w:rsidRPr="00475828">
              <w:rPr>
                <w:rFonts w:cs="Arial"/>
                <w:sz w:val="16"/>
                <w:szCs w:val="16"/>
                <w:lang w:val="cs-CZ"/>
              </w:rPr>
              <w:t>obchodního charakteru ohledně pozic antén a</w:t>
            </w:r>
            <w:r w:rsidR="00247FC2">
              <w:rPr>
                <w:rFonts w:cs="Arial"/>
                <w:sz w:val="16"/>
                <w:szCs w:val="16"/>
                <w:lang w:val="cs-CZ"/>
              </w:rPr>
              <w:t> </w:t>
            </w:r>
            <w:r w:rsidRPr="00475828">
              <w:rPr>
                <w:rFonts w:cs="Arial"/>
                <w:sz w:val="16"/>
                <w:szCs w:val="16"/>
                <w:lang w:val="cs-CZ"/>
              </w:rPr>
              <w:t>ohledně smluv s</w:t>
            </w:r>
            <w:r w:rsidR="00247FC2">
              <w:rPr>
                <w:rFonts w:cs="Arial"/>
                <w:sz w:val="16"/>
                <w:szCs w:val="16"/>
                <w:lang w:val="cs-CZ"/>
              </w:rPr>
              <w:t> </w:t>
            </w:r>
            <w:r w:rsidRPr="00475828">
              <w:rPr>
                <w:rFonts w:cs="Arial"/>
                <w:sz w:val="16"/>
                <w:szCs w:val="16"/>
                <w:lang w:val="cs-CZ"/>
              </w:rPr>
              <w:t>nájemci a</w:t>
            </w:r>
            <w:r w:rsidR="00247FC2">
              <w:rPr>
                <w:rFonts w:cs="Arial"/>
                <w:sz w:val="16"/>
                <w:szCs w:val="16"/>
                <w:lang w:val="cs-CZ"/>
              </w:rPr>
              <w:t> </w:t>
            </w:r>
            <w:r w:rsidRPr="00475828">
              <w:rPr>
                <w:rFonts w:cs="Arial"/>
                <w:sz w:val="16"/>
                <w:szCs w:val="16"/>
                <w:lang w:val="cs-CZ"/>
              </w:rPr>
              <w:t xml:space="preserve">pronajímateli stožárů. Po uzavření smlouvy budou strany pravidelně poskytovat JV </w:t>
            </w:r>
            <w:r w:rsidR="00950FDF">
              <w:rPr>
                <w:rFonts w:cs="Arial"/>
                <w:sz w:val="16"/>
                <w:szCs w:val="16"/>
                <w:lang w:val="cs-CZ"/>
              </w:rPr>
              <w:t xml:space="preserve">společnosti </w:t>
            </w:r>
            <w:r w:rsidRPr="00475828">
              <w:rPr>
                <w:rFonts w:cs="Arial"/>
                <w:sz w:val="16"/>
                <w:szCs w:val="16"/>
                <w:lang w:val="cs-CZ"/>
              </w:rPr>
              <w:t>informace o</w:t>
            </w:r>
            <w:r w:rsidR="00247FC2">
              <w:rPr>
                <w:rFonts w:cs="Arial"/>
                <w:sz w:val="16"/>
                <w:szCs w:val="16"/>
                <w:lang w:val="cs-CZ"/>
              </w:rPr>
              <w:t> </w:t>
            </w:r>
            <w:r w:rsidRPr="00475828">
              <w:rPr>
                <w:rFonts w:cs="Arial"/>
                <w:sz w:val="16"/>
                <w:szCs w:val="16"/>
                <w:lang w:val="cs-CZ"/>
              </w:rPr>
              <w:t>očekávaných objemech provozu pro účely dimenzování sítě ze strany JV</w:t>
            </w:r>
            <w:r w:rsidR="00950FDF">
              <w:rPr>
                <w:rFonts w:cs="Arial"/>
                <w:sz w:val="16"/>
                <w:szCs w:val="16"/>
                <w:lang w:val="cs-CZ"/>
              </w:rPr>
              <w:t xml:space="preserve"> společnosti</w:t>
            </w:r>
            <w:r w:rsidRPr="00475828">
              <w:rPr>
                <w:rFonts w:cs="Arial"/>
                <w:sz w:val="16"/>
                <w:szCs w:val="16"/>
                <w:lang w:val="cs-CZ"/>
              </w:rPr>
              <w:t>.</w:t>
            </w:r>
            <w:r w:rsidRPr="00475828">
              <w:rPr>
                <w:rStyle w:val="Znakapoznpodarou"/>
                <w:rFonts w:cs="Arial"/>
                <w:sz w:val="16"/>
                <w:szCs w:val="16"/>
                <w:lang w:val="cs-CZ"/>
              </w:rPr>
              <w:footnoteReference w:id="15"/>
            </w:r>
          </w:p>
        </w:tc>
        <w:tc>
          <w:tcPr>
            <w:tcW w:w="2116" w:type="pct"/>
          </w:tcPr>
          <w:p w14:paraId="578BCD9D" w14:textId="72AE1E6C" w:rsidR="0013350B"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t>Rozhodnutí o povolení horizontální produkční dohody v sektoru telekomunikací ze dne 29. 2. 2012</w:t>
            </w:r>
            <w:r w:rsidR="005D6008" w:rsidRPr="00475828">
              <w:rPr>
                <w:rFonts w:cs="Arial"/>
                <w:sz w:val="16"/>
                <w:szCs w:val="16"/>
                <w:lang w:val="cs-CZ"/>
              </w:rPr>
              <w:t xml:space="preserve"> </w:t>
            </w:r>
          </w:p>
          <w:p w14:paraId="295BDBF9" w14:textId="77777777" w:rsidR="009470F3"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proofErr w:type="spellStart"/>
            <w:r w:rsidRPr="00475828">
              <w:rPr>
                <w:rFonts w:cs="Arial"/>
                <w:sz w:val="16"/>
                <w:szCs w:val="16"/>
                <w:lang w:val="cs-CZ"/>
              </w:rPr>
              <w:t>Danish</w:t>
            </w:r>
            <w:proofErr w:type="spellEnd"/>
            <w:r w:rsidRPr="00475828">
              <w:rPr>
                <w:rFonts w:cs="Arial"/>
                <w:sz w:val="16"/>
                <w:szCs w:val="16"/>
                <w:lang w:val="cs-CZ"/>
              </w:rPr>
              <w:t xml:space="preserve"> </w:t>
            </w:r>
            <w:proofErr w:type="spellStart"/>
            <w:r w:rsidRPr="00475828">
              <w:rPr>
                <w:rFonts w:cs="Arial"/>
                <w:sz w:val="16"/>
                <w:szCs w:val="16"/>
                <w:lang w:val="cs-CZ"/>
              </w:rPr>
              <w:t>Competition</w:t>
            </w:r>
            <w:proofErr w:type="spellEnd"/>
            <w:r w:rsidRPr="00475828">
              <w:rPr>
                <w:rFonts w:cs="Arial"/>
                <w:sz w:val="16"/>
                <w:szCs w:val="16"/>
                <w:lang w:val="cs-CZ"/>
              </w:rPr>
              <w:t xml:space="preserve"> </w:t>
            </w:r>
            <w:proofErr w:type="spellStart"/>
            <w:r w:rsidRPr="00475828">
              <w:rPr>
                <w:rFonts w:cs="Arial"/>
                <w:sz w:val="16"/>
                <w:szCs w:val="16"/>
                <w:lang w:val="cs-CZ"/>
              </w:rPr>
              <w:t>Council</w:t>
            </w:r>
            <w:proofErr w:type="spellEnd"/>
            <w:r w:rsidRPr="00475828">
              <w:rPr>
                <w:rFonts w:cs="Arial"/>
                <w:sz w:val="16"/>
                <w:szCs w:val="16"/>
                <w:lang w:val="cs-CZ"/>
              </w:rPr>
              <w:t xml:space="preserve"> vyjádřil obavy týkající se 6 bodů, v důsledku toho přijaly strany 5 závazků k jejich odstranění</w:t>
            </w:r>
            <w:r w:rsidR="009470F3" w:rsidRPr="00475828">
              <w:rPr>
                <w:rStyle w:val="Znakapoznpodarou"/>
                <w:rFonts w:cs="Arial"/>
                <w:sz w:val="16"/>
                <w:szCs w:val="16"/>
                <w:lang w:val="cs-CZ"/>
              </w:rPr>
              <w:footnoteReference w:id="16"/>
            </w:r>
            <w:r w:rsidRPr="00475828">
              <w:rPr>
                <w:rFonts w:cs="Arial"/>
                <w:sz w:val="16"/>
                <w:szCs w:val="16"/>
                <w:lang w:val="cs-CZ"/>
              </w:rPr>
              <w:t>. Poslední šestá připomínka spadá pod výjimku dle čl. 101 odst. 3 SFEU a § 8 dánského soutěžního zákona, tudíž nebylo potřeba přijímat zvláštní závazek.</w:t>
            </w:r>
            <w:r w:rsidRPr="00475828">
              <w:rPr>
                <w:rStyle w:val="Znakapoznpodarou"/>
                <w:rFonts w:cs="Arial"/>
                <w:sz w:val="14"/>
                <w:szCs w:val="14"/>
                <w:lang w:val="cs-CZ"/>
              </w:rPr>
              <w:footnoteReference w:id="17"/>
            </w:r>
          </w:p>
          <w:p w14:paraId="4412B46D" w14:textId="77777777" w:rsidR="00351B10" w:rsidRPr="00475828" w:rsidRDefault="00351B10" w:rsidP="00DF4E36">
            <w:pPr>
              <w:keepLines/>
              <w:ind w:right="-107"/>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t>Aktuálně probíhá řízení o povolení fúze mezi operátory u Komise.</w:t>
            </w:r>
            <w:r w:rsidR="00A163E1">
              <w:rPr>
                <w:rStyle w:val="Znakapoznpodarou"/>
                <w:rFonts w:cs="Arial"/>
                <w:sz w:val="16"/>
                <w:szCs w:val="16"/>
                <w:lang w:val="cs-CZ"/>
              </w:rPr>
              <w:footnoteReference w:id="18"/>
            </w:r>
          </w:p>
        </w:tc>
      </w:tr>
      <w:tr w:rsidR="009470F3" w:rsidRPr="00843D00" w14:paraId="091CCB77" w14:textId="77777777" w:rsidTr="00DF7720">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357" w:type="pct"/>
            <w:shd w:val="clear" w:color="auto" w:fill="DAEEF3" w:themeFill="accent5" w:themeFillTint="33"/>
          </w:tcPr>
          <w:p w14:paraId="572842A7" w14:textId="77777777" w:rsidR="00351B10" w:rsidRPr="00106E53" w:rsidRDefault="00351B10" w:rsidP="00DF4E36">
            <w:pPr>
              <w:keepLines/>
              <w:jc w:val="left"/>
              <w:rPr>
                <w:rFonts w:cs="Arial"/>
                <w:sz w:val="16"/>
                <w:szCs w:val="16"/>
                <w:lang w:val="cs-CZ"/>
              </w:rPr>
            </w:pPr>
            <w:r w:rsidRPr="00106E53">
              <w:rPr>
                <w:rFonts w:cs="Arial"/>
                <w:sz w:val="16"/>
                <w:szCs w:val="16"/>
                <w:lang w:val="cs-CZ"/>
              </w:rPr>
              <w:t>Finsko</w:t>
            </w:r>
          </w:p>
        </w:tc>
        <w:tc>
          <w:tcPr>
            <w:tcW w:w="138" w:type="pct"/>
            <w:shd w:val="clear" w:color="auto" w:fill="DAEEF3" w:themeFill="accent5" w:themeFillTint="33"/>
          </w:tcPr>
          <w:p w14:paraId="3E91DCE8"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sym w:font="Wingdings" w:char="F0FC"/>
            </w:r>
          </w:p>
        </w:tc>
        <w:tc>
          <w:tcPr>
            <w:tcW w:w="138" w:type="pct"/>
            <w:shd w:val="clear" w:color="auto" w:fill="DAEEF3" w:themeFill="accent5" w:themeFillTint="33"/>
          </w:tcPr>
          <w:p w14:paraId="7CD47AC2"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sym w:font="Wingdings" w:char="F0FC"/>
            </w:r>
          </w:p>
        </w:tc>
        <w:tc>
          <w:tcPr>
            <w:tcW w:w="689" w:type="pct"/>
            <w:shd w:val="clear" w:color="auto" w:fill="DAEEF3" w:themeFill="accent5" w:themeFillTint="33"/>
          </w:tcPr>
          <w:p w14:paraId="7E765371" w14:textId="77777777" w:rsidR="00351B10" w:rsidRPr="00106E53"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b/>
                <w:sz w:val="16"/>
                <w:szCs w:val="16"/>
                <w:lang w:val="cs-CZ"/>
              </w:rPr>
            </w:pPr>
            <w:proofErr w:type="spellStart"/>
            <w:r w:rsidRPr="00106E53">
              <w:rPr>
                <w:rFonts w:cs="Arial"/>
                <w:b/>
                <w:sz w:val="16"/>
                <w:szCs w:val="16"/>
                <w:lang w:val="cs-CZ"/>
              </w:rPr>
              <w:t>TeliaSonera</w:t>
            </w:r>
            <w:proofErr w:type="spellEnd"/>
            <w:r w:rsidRPr="00106E53">
              <w:rPr>
                <w:rFonts w:cs="Arial"/>
                <w:b/>
                <w:sz w:val="16"/>
                <w:szCs w:val="16"/>
                <w:lang w:val="cs-CZ"/>
              </w:rPr>
              <w:t xml:space="preserve"> </w:t>
            </w:r>
            <w:proofErr w:type="spellStart"/>
            <w:r w:rsidRPr="00106E53">
              <w:rPr>
                <w:rFonts w:cs="Arial"/>
                <w:b/>
                <w:sz w:val="16"/>
                <w:szCs w:val="16"/>
                <w:lang w:val="cs-CZ"/>
              </w:rPr>
              <w:t>Finland</w:t>
            </w:r>
            <w:proofErr w:type="spellEnd"/>
            <w:r w:rsidRPr="00106E53">
              <w:rPr>
                <w:rFonts w:cs="Arial"/>
                <w:b/>
                <w:sz w:val="16"/>
                <w:szCs w:val="16"/>
                <w:lang w:val="cs-CZ"/>
              </w:rPr>
              <w:t xml:space="preserve"> </w:t>
            </w:r>
            <w:proofErr w:type="spellStart"/>
            <w:r w:rsidRPr="00106E53">
              <w:rPr>
                <w:rFonts w:cs="Arial"/>
                <w:b/>
                <w:sz w:val="16"/>
                <w:szCs w:val="16"/>
                <w:lang w:val="cs-CZ"/>
              </w:rPr>
              <w:t>Oyj</w:t>
            </w:r>
            <w:proofErr w:type="spellEnd"/>
          </w:p>
          <w:p w14:paraId="1C6C16B5" w14:textId="77777777" w:rsidR="00351B10" w:rsidRPr="00106E53"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b/>
                <w:sz w:val="16"/>
                <w:szCs w:val="16"/>
                <w:lang w:val="cs-CZ"/>
              </w:rPr>
            </w:pPr>
          </w:p>
          <w:p w14:paraId="79AFCC95" w14:textId="77777777" w:rsidR="00351B10" w:rsidRPr="00106E53"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b/>
                <w:sz w:val="16"/>
                <w:szCs w:val="16"/>
                <w:lang w:val="cs-CZ"/>
              </w:rPr>
            </w:pPr>
            <w:r w:rsidRPr="00106E53">
              <w:rPr>
                <w:rFonts w:cs="Arial"/>
                <w:b/>
                <w:sz w:val="16"/>
                <w:szCs w:val="16"/>
                <w:lang w:val="cs-CZ"/>
              </w:rPr>
              <w:t xml:space="preserve">DNA </w:t>
            </w:r>
            <w:proofErr w:type="spellStart"/>
            <w:r w:rsidRPr="00106E53">
              <w:rPr>
                <w:rFonts w:cs="Arial"/>
                <w:b/>
                <w:sz w:val="16"/>
                <w:szCs w:val="16"/>
                <w:lang w:val="cs-CZ"/>
              </w:rPr>
              <w:t>Oy</w:t>
            </w:r>
            <w:proofErr w:type="spellEnd"/>
          </w:p>
          <w:p w14:paraId="68485E1F"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p>
        </w:tc>
        <w:tc>
          <w:tcPr>
            <w:tcW w:w="552" w:type="pct"/>
            <w:shd w:val="clear" w:color="auto" w:fill="DAEEF3" w:themeFill="accent5" w:themeFillTint="33"/>
          </w:tcPr>
          <w:p w14:paraId="3B4FBDFA"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 xml:space="preserve">RAN </w:t>
            </w:r>
            <w:proofErr w:type="spellStart"/>
            <w:r w:rsidRPr="00475828">
              <w:rPr>
                <w:rFonts w:cs="Arial"/>
                <w:sz w:val="16"/>
                <w:szCs w:val="16"/>
                <w:lang w:val="cs-CZ"/>
              </w:rPr>
              <w:t>sharing</w:t>
            </w:r>
            <w:proofErr w:type="spellEnd"/>
            <w:r w:rsidRPr="00475828">
              <w:rPr>
                <w:rFonts w:cs="Arial"/>
                <w:sz w:val="16"/>
                <w:szCs w:val="16"/>
                <w:lang w:val="cs-CZ"/>
              </w:rPr>
              <w:t xml:space="preserve"> + sdílení spektra</w:t>
            </w:r>
          </w:p>
          <w:p w14:paraId="7D37FD2D"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p>
          <w:p w14:paraId="67F8B3FC"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800 MHz</w:t>
            </w:r>
          </w:p>
          <w:p w14:paraId="4B1DC880"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 xml:space="preserve">Má vzniknout </w:t>
            </w:r>
            <w:r w:rsidR="00950FDF">
              <w:rPr>
                <w:rFonts w:cs="Arial"/>
                <w:sz w:val="16"/>
                <w:szCs w:val="16"/>
                <w:lang w:val="cs-CZ"/>
              </w:rPr>
              <w:t>JV</w:t>
            </w:r>
            <w:r w:rsidRPr="00475828">
              <w:rPr>
                <w:rFonts w:cs="Arial"/>
                <w:sz w:val="16"/>
                <w:szCs w:val="16"/>
                <w:lang w:val="cs-CZ"/>
              </w:rPr>
              <w:t xml:space="preserve"> společnost „</w:t>
            </w:r>
            <w:proofErr w:type="spellStart"/>
            <w:r w:rsidRPr="00475828">
              <w:rPr>
                <w:rFonts w:cs="Arial"/>
                <w:sz w:val="16"/>
                <w:szCs w:val="16"/>
                <w:lang w:val="cs-CZ"/>
              </w:rPr>
              <w:t>Suomen</w:t>
            </w:r>
            <w:proofErr w:type="spellEnd"/>
            <w:r w:rsidRPr="00475828">
              <w:rPr>
                <w:rFonts w:cs="Arial"/>
                <w:sz w:val="16"/>
                <w:szCs w:val="16"/>
                <w:lang w:val="cs-CZ"/>
              </w:rPr>
              <w:t xml:space="preserve"> </w:t>
            </w:r>
            <w:proofErr w:type="spellStart"/>
            <w:r w:rsidRPr="00475828">
              <w:rPr>
                <w:rFonts w:cs="Arial"/>
                <w:sz w:val="16"/>
                <w:szCs w:val="16"/>
                <w:lang w:val="cs-CZ"/>
              </w:rPr>
              <w:t>Yhteisverkko</w:t>
            </w:r>
            <w:proofErr w:type="spellEnd"/>
            <w:r w:rsidRPr="00475828">
              <w:rPr>
                <w:rFonts w:cs="Arial"/>
                <w:sz w:val="16"/>
                <w:szCs w:val="16"/>
                <w:lang w:val="cs-CZ"/>
              </w:rPr>
              <w:t xml:space="preserve"> </w:t>
            </w:r>
            <w:proofErr w:type="spellStart"/>
            <w:r w:rsidRPr="00475828">
              <w:rPr>
                <w:rFonts w:cs="Arial"/>
                <w:sz w:val="16"/>
                <w:szCs w:val="16"/>
                <w:lang w:val="cs-CZ"/>
              </w:rPr>
              <w:t>Oy</w:t>
            </w:r>
            <w:proofErr w:type="spellEnd"/>
            <w:r w:rsidRPr="00475828">
              <w:rPr>
                <w:rFonts w:cs="Arial"/>
                <w:sz w:val="16"/>
                <w:szCs w:val="16"/>
                <w:lang w:val="cs-CZ"/>
              </w:rPr>
              <w:t xml:space="preserve">“, jež postaví a bude spravovat sdílenou RAN síť. </w:t>
            </w:r>
          </w:p>
        </w:tc>
        <w:tc>
          <w:tcPr>
            <w:tcW w:w="460" w:type="pct"/>
            <w:shd w:val="clear" w:color="auto" w:fill="DAEEF3" w:themeFill="accent5" w:themeFillTint="33"/>
          </w:tcPr>
          <w:p w14:paraId="50A1BD4D"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Od 2014</w:t>
            </w:r>
          </w:p>
        </w:tc>
        <w:tc>
          <w:tcPr>
            <w:tcW w:w="550" w:type="pct"/>
            <w:shd w:val="clear" w:color="auto" w:fill="DAEEF3" w:themeFill="accent5" w:themeFillTint="33"/>
          </w:tcPr>
          <w:p w14:paraId="67E814E7"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Týká se řídce osídlených severních a</w:t>
            </w:r>
            <w:r w:rsidR="00247FC2">
              <w:rPr>
                <w:rFonts w:cs="Arial"/>
                <w:sz w:val="16"/>
                <w:szCs w:val="16"/>
                <w:lang w:val="cs-CZ"/>
              </w:rPr>
              <w:t> </w:t>
            </w:r>
            <w:r w:rsidRPr="00475828">
              <w:rPr>
                <w:rFonts w:cs="Arial"/>
                <w:sz w:val="16"/>
                <w:szCs w:val="16"/>
                <w:lang w:val="cs-CZ"/>
              </w:rPr>
              <w:t>východních částí Finska (cca 50% území, 15% populace).</w:t>
            </w:r>
            <w:r w:rsidRPr="00475828">
              <w:rPr>
                <w:rStyle w:val="Znakapoznpodarou"/>
                <w:rFonts w:cs="Arial"/>
                <w:sz w:val="16"/>
                <w:szCs w:val="16"/>
                <w:lang w:val="cs-CZ"/>
              </w:rPr>
              <w:footnoteReference w:id="19"/>
            </w:r>
          </w:p>
          <w:p w14:paraId="4D76CB44"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p>
          <w:p w14:paraId="6160D860" w14:textId="1CD20448"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Vytvoření JV</w:t>
            </w:r>
            <w:r w:rsidR="00950FDF">
              <w:rPr>
                <w:rFonts w:cs="Arial"/>
                <w:sz w:val="16"/>
                <w:szCs w:val="16"/>
                <w:lang w:val="cs-CZ"/>
              </w:rPr>
              <w:t xml:space="preserve"> společnosti</w:t>
            </w:r>
            <w:r w:rsidRPr="00475828">
              <w:rPr>
                <w:rFonts w:cs="Arial"/>
                <w:sz w:val="16"/>
                <w:szCs w:val="16"/>
                <w:lang w:val="cs-CZ"/>
              </w:rPr>
              <w:t xml:space="preserve">, jež postaví a bude provozovat sdílenou mobilní síť. 51% podíl má </w:t>
            </w:r>
            <w:proofErr w:type="spellStart"/>
            <w:r w:rsidRPr="00475828">
              <w:rPr>
                <w:rFonts w:cs="Arial"/>
                <w:sz w:val="16"/>
                <w:szCs w:val="16"/>
                <w:lang w:val="cs-CZ"/>
              </w:rPr>
              <w:t>Sonera</w:t>
            </w:r>
            <w:proofErr w:type="spellEnd"/>
            <w:r w:rsidRPr="00475828">
              <w:rPr>
                <w:rFonts w:cs="Arial"/>
                <w:sz w:val="16"/>
                <w:szCs w:val="16"/>
                <w:lang w:val="cs-CZ"/>
              </w:rPr>
              <w:t xml:space="preserve"> a 49% podíl DNA</w:t>
            </w:r>
          </w:p>
          <w:p w14:paraId="5B59D18F" w14:textId="3FFAF920"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Sdílení nejen infrastruktury (pasivní + RAN)</w:t>
            </w:r>
            <w:r w:rsidR="00A163E1">
              <w:rPr>
                <w:rFonts w:cs="Arial"/>
                <w:sz w:val="16"/>
                <w:szCs w:val="16"/>
                <w:lang w:val="cs-CZ"/>
              </w:rPr>
              <w:t xml:space="preserve">a </w:t>
            </w:r>
            <w:r w:rsidRPr="00475828">
              <w:rPr>
                <w:rFonts w:cs="Arial"/>
                <w:sz w:val="16"/>
                <w:szCs w:val="16"/>
                <w:lang w:val="cs-CZ"/>
              </w:rPr>
              <w:t>frekvencí ve spektru 800 MH</w:t>
            </w:r>
            <w:r w:rsidR="00C054D8">
              <w:rPr>
                <w:rFonts w:cs="Arial"/>
                <w:sz w:val="16"/>
                <w:szCs w:val="16"/>
                <w:lang w:val="cs-CZ"/>
              </w:rPr>
              <w:t>z</w:t>
            </w:r>
          </w:p>
        </w:tc>
        <w:tc>
          <w:tcPr>
            <w:tcW w:w="2116" w:type="pct"/>
            <w:shd w:val="clear" w:color="auto" w:fill="DAEEF3" w:themeFill="accent5" w:themeFillTint="33"/>
          </w:tcPr>
          <w:p w14:paraId="1FC9505D"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 xml:space="preserve">Zatím není známé, </w:t>
            </w:r>
            <w:proofErr w:type="spellStart"/>
            <w:r w:rsidRPr="00475828">
              <w:rPr>
                <w:rFonts w:cs="Arial"/>
                <w:sz w:val="16"/>
                <w:szCs w:val="16"/>
                <w:lang w:val="cs-CZ"/>
              </w:rPr>
              <w:t>Fin</w:t>
            </w:r>
            <w:r w:rsidR="00FD5916" w:rsidRPr="00475828">
              <w:rPr>
                <w:rFonts w:cs="Arial"/>
                <w:sz w:val="16"/>
                <w:szCs w:val="16"/>
                <w:lang w:val="cs-CZ"/>
              </w:rPr>
              <w:t>n</w:t>
            </w:r>
            <w:r w:rsidRPr="00475828">
              <w:rPr>
                <w:rFonts w:cs="Arial"/>
                <w:sz w:val="16"/>
                <w:szCs w:val="16"/>
                <w:lang w:val="cs-CZ"/>
              </w:rPr>
              <w:t>ish</w:t>
            </w:r>
            <w:proofErr w:type="spellEnd"/>
            <w:r w:rsidRPr="00475828">
              <w:rPr>
                <w:rFonts w:cs="Arial"/>
                <w:sz w:val="16"/>
                <w:szCs w:val="16"/>
                <w:lang w:val="cs-CZ"/>
              </w:rPr>
              <w:t xml:space="preserve"> </w:t>
            </w:r>
            <w:proofErr w:type="spellStart"/>
            <w:r w:rsidRPr="00475828">
              <w:rPr>
                <w:rFonts w:cs="Arial"/>
                <w:sz w:val="16"/>
                <w:szCs w:val="16"/>
                <w:lang w:val="cs-CZ"/>
              </w:rPr>
              <w:t>Competition</w:t>
            </w:r>
            <w:proofErr w:type="spellEnd"/>
            <w:r w:rsidRPr="00475828">
              <w:rPr>
                <w:rFonts w:cs="Arial"/>
                <w:sz w:val="16"/>
                <w:szCs w:val="16"/>
                <w:lang w:val="cs-CZ"/>
              </w:rPr>
              <w:t xml:space="preserve"> and </w:t>
            </w:r>
            <w:proofErr w:type="spellStart"/>
            <w:r w:rsidRPr="00475828">
              <w:rPr>
                <w:rFonts w:cs="Arial"/>
                <w:sz w:val="16"/>
                <w:szCs w:val="16"/>
                <w:lang w:val="cs-CZ"/>
              </w:rPr>
              <w:t>Consumer</w:t>
            </w:r>
            <w:proofErr w:type="spellEnd"/>
            <w:r w:rsidRPr="00475828">
              <w:rPr>
                <w:rFonts w:cs="Arial"/>
                <w:sz w:val="16"/>
                <w:szCs w:val="16"/>
                <w:lang w:val="cs-CZ"/>
              </w:rPr>
              <w:t xml:space="preserve"> </w:t>
            </w:r>
            <w:proofErr w:type="spellStart"/>
            <w:r w:rsidRPr="00475828">
              <w:rPr>
                <w:rFonts w:cs="Arial"/>
                <w:sz w:val="16"/>
                <w:szCs w:val="16"/>
                <w:lang w:val="cs-CZ"/>
              </w:rPr>
              <w:t>Authority</w:t>
            </w:r>
            <w:proofErr w:type="spellEnd"/>
            <w:r w:rsidRPr="00475828">
              <w:rPr>
                <w:rFonts w:cs="Arial"/>
                <w:sz w:val="16"/>
                <w:szCs w:val="16"/>
                <w:lang w:val="cs-CZ"/>
              </w:rPr>
              <w:t xml:space="preserve"> (finský NCA) zahájil šetření podle </w:t>
            </w:r>
            <w:r w:rsidR="00106E53">
              <w:rPr>
                <w:rFonts w:cs="Arial"/>
                <w:sz w:val="16"/>
                <w:szCs w:val="16"/>
                <w:lang w:val="cs-CZ"/>
              </w:rPr>
              <w:t xml:space="preserve">finského </w:t>
            </w:r>
            <w:r w:rsidRPr="00475828">
              <w:rPr>
                <w:rFonts w:cs="Arial"/>
                <w:sz w:val="16"/>
                <w:szCs w:val="16"/>
                <w:lang w:val="cs-CZ"/>
              </w:rPr>
              <w:t>soutěžního zákona v listopadu 2014.</w:t>
            </w:r>
            <w:r w:rsidRPr="00475828">
              <w:rPr>
                <w:rStyle w:val="Znakapoznpodarou"/>
                <w:rFonts w:cs="Arial"/>
                <w:sz w:val="16"/>
                <w:szCs w:val="16"/>
                <w:lang w:val="cs-CZ"/>
              </w:rPr>
              <w:footnoteReference w:id="20"/>
            </w:r>
          </w:p>
        </w:tc>
      </w:tr>
      <w:tr w:rsidR="005D6008" w:rsidRPr="0016725C" w14:paraId="1F2A7D9A" w14:textId="77777777" w:rsidTr="00DF7720">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357" w:type="pct"/>
          </w:tcPr>
          <w:p w14:paraId="30B6593E" w14:textId="77777777" w:rsidR="00351B10" w:rsidRPr="00106E53" w:rsidRDefault="00351B10" w:rsidP="00DF4E36">
            <w:pPr>
              <w:keepLines/>
              <w:jc w:val="left"/>
              <w:rPr>
                <w:rFonts w:cs="Arial"/>
                <w:sz w:val="16"/>
                <w:szCs w:val="16"/>
                <w:lang w:val="cs-CZ"/>
              </w:rPr>
            </w:pPr>
            <w:r w:rsidRPr="00106E53">
              <w:rPr>
                <w:rFonts w:cs="Arial"/>
                <w:sz w:val="16"/>
                <w:szCs w:val="16"/>
                <w:lang w:val="cs-CZ"/>
              </w:rPr>
              <w:t>Francie</w:t>
            </w:r>
          </w:p>
        </w:tc>
        <w:tc>
          <w:tcPr>
            <w:tcW w:w="138" w:type="pct"/>
          </w:tcPr>
          <w:p w14:paraId="5E8A5E29"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sym w:font="Wingdings" w:char="F0FC"/>
            </w:r>
          </w:p>
        </w:tc>
        <w:tc>
          <w:tcPr>
            <w:tcW w:w="138" w:type="pct"/>
          </w:tcPr>
          <w:p w14:paraId="7D4B4566"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sym w:font="Wingdings" w:char="F0FC"/>
            </w:r>
          </w:p>
        </w:tc>
        <w:tc>
          <w:tcPr>
            <w:tcW w:w="689" w:type="pct"/>
          </w:tcPr>
          <w:p w14:paraId="4BB25995" w14:textId="77777777" w:rsidR="00106E53"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106E53">
              <w:rPr>
                <w:rFonts w:cs="Arial"/>
                <w:b/>
                <w:sz w:val="16"/>
                <w:szCs w:val="16"/>
                <w:lang w:val="cs-CZ"/>
              </w:rPr>
              <w:t>SFR</w:t>
            </w:r>
            <w:r w:rsidRPr="00475828">
              <w:rPr>
                <w:rFonts w:cs="Arial"/>
                <w:sz w:val="16"/>
                <w:szCs w:val="16"/>
                <w:lang w:val="cs-CZ"/>
              </w:rPr>
              <w:t xml:space="preserve"> (26%</w:t>
            </w:r>
            <w:r w:rsidR="00106E53">
              <w:rPr>
                <w:rFonts w:cs="Arial"/>
                <w:sz w:val="16"/>
                <w:szCs w:val="16"/>
                <w:lang w:val="cs-CZ"/>
              </w:rPr>
              <w:t>*</w:t>
            </w:r>
            <w:r w:rsidRPr="00475828">
              <w:rPr>
                <w:rFonts w:cs="Arial"/>
                <w:sz w:val="16"/>
                <w:szCs w:val="16"/>
                <w:lang w:val="cs-CZ"/>
              </w:rPr>
              <w:t xml:space="preserve">) </w:t>
            </w:r>
          </w:p>
          <w:p w14:paraId="142388F7"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proofErr w:type="spellStart"/>
            <w:r w:rsidRPr="00106E53">
              <w:rPr>
                <w:rFonts w:cs="Arial"/>
                <w:b/>
                <w:sz w:val="16"/>
                <w:szCs w:val="16"/>
                <w:lang w:val="cs-CZ"/>
              </w:rPr>
              <w:t>Bouygues</w:t>
            </w:r>
            <w:proofErr w:type="spellEnd"/>
            <w:r w:rsidRPr="00475828">
              <w:rPr>
                <w:rFonts w:cs="Arial"/>
                <w:sz w:val="16"/>
                <w:szCs w:val="16"/>
                <w:lang w:val="cs-CZ"/>
              </w:rPr>
              <w:t xml:space="preserve"> (17%</w:t>
            </w:r>
            <w:r w:rsidR="00106E53">
              <w:rPr>
                <w:rFonts w:cs="Arial"/>
                <w:sz w:val="16"/>
                <w:szCs w:val="16"/>
                <w:lang w:val="cs-CZ"/>
              </w:rPr>
              <w:t>*</w:t>
            </w:r>
            <w:r w:rsidRPr="00475828">
              <w:rPr>
                <w:rFonts w:cs="Arial"/>
                <w:sz w:val="16"/>
                <w:szCs w:val="16"/>
                <w:lang w:val="cs-CZ"/>
              </w:rPr>
              <w:t xml:space="preserve">) </w:t>
            </w:r>
          </w:p>
          <w:p w14:paraId="324A2B6C"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p>
          <w:p w14:paraId="627090D8" w14:textId="77777777" w:rsidR="00351B10" w:rsidRPr="00475828" w:rsidRDefault="00106E53"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Pr>
                <w:rFonts w:cs="Arial"/>
                <w:sz w:val="16"/>
                <w:szCs w:val="16"/>
                <w:lang w:val="cs-CZ"/>
              </w:rPr>
              <w:t>*</w:t>
            </w:r>
            <w:r w:rsidR="00351B10" w:rsidRPr="00475828">
              <w:rPr>
                <w:rFonts w:cs="Arial"/>
                <w:sz w:val="16"/>
                <w:szCs w:val="16"/>
                <w:lang w:val="cs-CZ"/>
              </w:rPr>
              <w:t xml:space="preserve">Podíly </w:t>
            </w:r>
            <w:r>
              <w:rPr>
                <w:rFonts w:cs="Arial"/>
                <w:sz w:val="16"/>
                <w:szCs w:val="16"/>
                <w:lang w:val="cs-CZ"/>
              </w:rPr>
              <w:t xml:space="preserve">jsou v aktuální době </w:t>
            </w:r>
            <w:r w:rsidR="00351B10" w:rsidRPr="00475828">
              <w:rPr>
                <w:rFonts w:cs="Arial"/>
                <w:sz w:val="16"/>
                <w:szCs w:val="16"/>
                <w:lang w:val="cs-CZ"/>
              </w:rPr>
              <w:t>pravděpodobně nižší, jedná se o údaj k březnu 2013.</w:t>
            </w:r>
          </w:p>
        </w:tc>
        <w:tc>
          <w:tcPr>
            <w:tcW w:w="552" w:type="pct"/>
          </w:tcPr>
          <w:p w14:paraId="13719AAB"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t xml:space="preserve">RAN </w:t>
            </w:r>
            <w:proofErr w:type="spellStart"/>
            <w:r w:rsidRPr="00475828">
              <w:rPr>
                <w:rFonts w:cs="Arial"/>
                <w:sz w:val="16"/>
                <w:szCs w:val="16"/>
                <w:lang w:val="cs-CZ"/>
              </w:rPr>
              <w:t>sharing</w:t>
            </w:r>
            <w:proofErr w:type="spellEnd"/>
            <w:r w:rsidRPr="00475828">
              <w:rPr>
                <w:rFonts w:cs="Arial"/>
                <w:sz w:val="16"/>
                <w:szCs w:val="16"/>
                <w:lang w:val="cs-CZ"/>
              </w:rPr>
              <w:t xml:space="preserve"> (MORAN)</w:t>
            </w:r>
          </w:p>
        </w:tc>
        <w:tc>
          <w:tcPr>
            <w:tcW w:w="460" w:type="pct"/>
          </w:tcPr>
          <w:p w14:paraId="084750B1"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t>2014 - 2024</w:t>
            </w:r>
          </w:p>
        </w:tc>
        <w:tc>
          <w:tcPr>
            <w:tcW w:w="550" w:type="pct"/>
          </w:tcPr>
          <w:p w14:paraId="32EF3D1D" w14:textId="1A341898"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t xml:space="preserve">Pasivní infrastruktura, RAN </w:t>
            </w:r>
            <w:proofErr w:type="spellStart"/>
            <w:r w:rsidRPr="00475828">
              <w:rPr>
                <w:rFonts w:cs="Arial"/>
                <w:sz w:val="16"/>
                <w:szCs w:val="16"/>
                <w:lang w:val="cs-CZ"/>
              </w:rPr>
              <w:t>sharing</w:t>
            </w:r>
            <w:proofErr w:type="spellEnd"/>
            <w:r w:rsidRPr="00475828">
              <w:rPr>
                <w:rFonts w:cs="Arial"/>
                <w:sz w:val="16"/>
                <w:szCs w:val="16"/>
                <w:lang w:val="cs-CZ"/>
              </w:rPr>
              <w:t xml:space="preserve"> (MORAN), sdílení spektra v pásmu 800 MHz, dočasný národní roaming na 4G</w:t>
            </w:r>
          </w:p>
        </w:tc>
        <w:tc>
          <w:tcPr>
            <w:tcW w:w="2116" w:type="pct"/>
          </w:tcPr>
          <w:p w14:paraId="1F085ED3" w14:textId="5BA03C22" w:rsidR="00351B10" w:rsidRPr="00475828" w:rsidRDefault="00E078F6"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t>Stanovisko</w:t>
            </w:r>
            <w:r w:rsidR="00351B10" w:rsidRPr="00475828">
              <w:rPr>
                <w:rFonts w:cs="Arial"/>
                <w:sz w:val="16"/>
                <w:szCs w:val="16"/>
                <w:lang w:val="cs-CZ"/>
              </w:rPr>
              <w:t xml:space="preserve"> ARCEP (</w:t>
            </w:r>
            <w:r w:rsidR="00351B10" w:rsidRPr="00475828">
              <w:rPr>
                <w:rFonts w:cs="Arial"/>
                <w:i/>
                <w:sz w:val="16"/>
                <w:szCs w:val="16"/>
                <w:lang w:val="cs-CZ"/>
              </w:rPr>
              <w:t>ex ante</w:t>
            </w:r>
            <w:r w:rsidR="00351B10" w:rsidRPr="00475828">
              <w:rPr>
                <w:rFonts w:cs="Arial"/>
                <w:sz w:val="16"/>
                <w:szCs w:val="16"/>
                <w:lang w:val="cs-CZ"/>
              </w:rPr>
              <w:t xml:space="preserve"> regulátor) i </w:t>
            </w:r>
            <w:r w:rsidR="00106E53">
              <w:rPr>
                <w:rFonts w:cs="Arial"/>
                <w:sz w:val="16"/>
                <w:szCs w:val="16"/>
                <w:lang w:val="cs-CZ"/>
              </w:rPr>
              <w:t>AC</w:t>
            </w:r>
            <w:r w:rsidR="00351B10" w:rsidRPr="00475828">
              <w:rPr>
                <w:rFonts w:cs="Arial"/>
                <w:sz w:val="16"/>
                <w:szCs w:val="16"/>
                <w:lang w:val="cs-CZ"/>
              </w:rPr>
              <w:t xml:space="preserve"> (</w:t>
            </w:r>
            <w:r w:rsidR="00351B10" w:rsidRPr="00475828">
              <w:rPr>
                <w:rFonts w:cs="Arial"/>
                <w:i/>
                <w:sz w:val="16"/>
                <w:szCs w:val="16"/>
                <w:lang w:val="cs-CZ"/>
              </w:rPr>
              <w:t>ex post</w:t>
            </w:r>
            <w:r w:rsidR="00351B10" w:rsidRPr="00475828">
              <w:rPr>
                <w:rFonts w:cs="Arial"/>
                <w:sz w:val="16"/>
                <w:szCs w:val="16"/>
                <w:lang w:val="cs-CZ"/>
              </w:rPr>
              <w:t xml:space="preserve"> regulátor), ani jeden neshledal problémy.</w:t>
            </w:r>
            <w:r w:rsidR="00106E53">
              <w:rPr>
                <w:rFonts w:cs="Arial"/>
                <w:sz w:val="16"/>
                <w:szCs w:val="16"/>
                <w:lang w:val="cs-CZ"/>
              </w:rPr>
              <w:t xml:space="preserve"> K podrobnostem viz kapitol</w:t>
            </w:r>
            <w:r w:rsidR="00C054D8">
              <w:rPr>
                <w:rFonts w:cs="Arial"/>
                <w:sz w:val="16"/>
                <w:szCs w:val="16"/>
                <w:lang w:val="cs-CZ"/>
              </w:rPr>
              <w:t>u</w:t>
            </w:r>
            <w:r w:rsidR="00106E53">
              <w:rPr>
                <w:rFonts w:cs="Arial"/>
                <w:sz w:val="16"/>
                <w:szCs w:val="16"/>
                <w:lang w:val="cs-CZ"/>
              </w:rPr>
              <w:t xml:space="preserve"> </w:t>
            </w:r>
            <w:proofErr w:type="gramStart"/>
            <w:r w:rsidR="00106E53">
              <w:rPr>
                <w:rFonts w:cs="Arial"/>
                <w:sz w:val="16"/>
                <w:szCs w:val="16"/>
                <w:lang w:val="cs-CZ"/>
              </w:rPr>
              <w:t>2.2. tohoto</w:t>
            </w:r>
            <w:proofErr w:type="gramEnd"/>
            <w:r w:rsidR="00106E53">
              <w:rPr>
                <w:rFonts w:cs="Arial"/>
                <w:sz w:val="16"/>
                <w:szCs w:val="16"/>
                <w:lang w:val="cs-CZ"/>
              </w:rPr>
              <w:t xml:space="preserve"> vyjádření. </w:t>
            </w:r>
          </w:p>
        </w:tc>
      </w:tr>
      <w:tr w:rsidR="009470F3" w:rsidRPr="00843D00" w14:paraId="1796292F" w14:textId="77777777" w:rsidTr="00DF7720">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357" w:type="pct"/>
            <w:shd w:val="clear" w:color="auto" w:fill="DAEEF3" w:themeFill="accent5" w:themeFillTint="33"/>
          </w:tcPr>
          <w:p w14:paraId="3C213238" w14:textId="77777777" w:rsidR="00351B10" w:rsidRPr="00106E53" w:rsidRDefault="00351B10" w:rsidP="00DF4E36">
            <w:pPr>
              <w:keepLines/>
              <w:jc w:val="left"/>
              <w:rPr>
                <w:rFonts w:cs="Arial"/>
                <w:sz w:val="16"/>
                <w:szCs w:val="16"/>
                <w:lang w:val="cs-CZ"/>
              </w:rPr>
            </w:pPr>
            <w:r w:rsidRPr="00106E53">
              <w:rPr>
                <w:rFonts w:cs="Arial"/>
                <w:sz w:val="16"/>
                <w:szCs w:val="16"/>
                <w:lang w:val="cs-CZ"/>
              </w:rPr>
              <w:t>Irsko</w:t>
            </w:r>
          </w:p>
        </w:tc>
        <w:tc>
          <w:tcPr>
            <w:tcW w:w="138" w:type="pct"/>
            <w:shd w:val="clear" w:color="auto" w:fill="DAEEF3" w:themeFill="accent5" w:themeFillTint="33"/>
          </w:tcPr>
          <w:p w14:paraId="60906DCD"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sym w:font="Wingdings" w:char="F0FC"/>
            </w:r>
          </w:p>
        </w:tc>
        <w:tc>
          <w:tcPr>
            <w:tcW w:w="138" w:type="pct"/>
            <w:shd w:val="clear" w:color="auto" w:fill="DAEEF3" w:themeFill="accent5" w:themeFillTint="33"/>
          </w:tcPr>
          <w:p w14:paraId="1FD13B0D"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sym w:font="Wingdings" w:char="F0FC"/>
            </w:r>
          </w:p>
        </w:tc>
        <w:tc>
          <w:tcPr>
            <w:tcW w:w="689" w:type="pct"/>
            <w:shd w:val="clear" w:color="auto" w:fill="DAEEF3" w:themeFill="accent5" w:themeFillTint="33"/>
          </w:tcPr>
          <w:p w14:paraId="38D31294"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106E53">
              <w:rPr>
                <w:rFonts w:cs="Arial"/>
                <w:b/>
                <w:sz w:val="16"/>
                <w:szCs w:val="16"/>
                <w:lang w:val="cs-CZ"/>
              </w:rPr>
              <w:t xml:space="preserve">O2 (Telefonica </w:t>
            </w:r>
            <w:proofErr w:type="gramStart"/>
            <w:r w:rsidRPr="00106E53">
              <w:rPr>
                <w:rFonts w:cs="Arial"/>
                <w:b/>
                <w:sz w:val="16"/>
                <w:szCs w:val="16"/>
                <w:lang w:val="cs-CZ"/>
              </w:rPr>
              <w:t>Group)</w:t>
            </w:r>
            <w:r w:rsidRPr="00475828">
              <w:rPr>
                <w:rFonts w:cs="Arial"/>
                <w:sz w:val="16"/>
                <w:szCs w:val="16"/>
                <w:lang w:val="cs-CZ"/>
              </w:rPr>
              <w:t xml:space="preserve"> </w:t>
            </w:r>
            <w:r w:rsidR="00106E53">
              <w:rPr>
                <w:rFonts w:cs="Arial"/>
                <w:sz w:val="16"/>
                <w:szCs w:val="16"/>
                <w:lang w:val="cs-CZ"/>
              </w:rPr>
              <w:t>(</w:t>
            </w:r>
            <w:r w:rsidRPr="00475828">
              <w:rPr>
                <w:rFonts w:cs="Arial"/>
                <w:sz w:val="16"/>
                <w:szCs w:val="16"/>
                <w:lang w:val="cs-CZ"/>
              </w:rPr>
              <w:t>~26</w:t>
            </w:r>
            <w:proofErr w:type="gramEnd"/>
            <w:r w:rsidRPr="00475828">
              <w:rPr>
                <w:rFonts w:cs="Arial"/>
                <w:sz w:val="16"/>
                <w:szCs w:val="16"/>
                <w:lang w:val="cs-CZ"/>
              </w:rPr>
              <w:t xml:space="preserve"> % dle tržeb, 27 % dle počtu uživatelů</w:t>
            </w:r>
            <w:r w:rsidRPr="00475828">
              <w:rPr>
                <w:rStyle w:val="Znakapoznpodarou"/>
                <w:rFonts w:cs="Arial"/>
                <w:sz w:val="16"/>
                <w:szCs w:val="16"/>
                <w:lang w:val="cs-CZ"/>
              </w:rPr>
              <w:footnoteReference w:id="21"/>
            </w:r>
            <w:r w:rsidR="00106E53">
              <w:rPr>
                <w:rFonts w:cs="Arial"/>
                <w:sz w:val="16"/>
                <w:szCs w:val="16"/>
                <w:lang w:val="cs-CZ"/>
              </w:rPr>
              <w:t>)</w:t>
            </w:r>
          </w:p>
          <w:p w14:paraId="147C7BBB"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106E53">
              <w:rPr>
                <w:rFonts w:cs="Arial"/>
                <w:b/>
                <w:sz w:val="16"/>
                <w:szCs w:val="16"/>
                <w:lang w:val="cs-CZ"/>
              </w:rPr>
              <w:t>Meteor (</w:t>
            </w:r>
            <w:proofErr w:type="spellStart"/>
            <w:r w:rsidR="00A163E1" w:rsidRPr="00106E53">
              <w:rPr>
                <w:rFonts w:cs="Arial"/>
                <w:b/>
                <w:sz w:val="16"/>
                <w:szCs w:val="16"/>
                <w:lang w:val="cs-CZ"/>
              </w:rPr>
              <w:t>Eircom</w:t>
            </w:r>
            <w:proofErr w:type="spellEnd"/>
            <w:r w:rsidR="00A163E1" w:rsidRPr="00106E53">
              <w:rPr>
                <w:rFonts w:cs="Arial"/>
                <w:b/>
                <w:sz w:val="16"/>
                <w:szCs w:val="16"/>
                <w:lang w:val="cs-CZ"/>
              </w:rPr>
              <w:t xml:space="preserve"> </w:t>
            </w:r>
            <w:proofErr w:type="gramStart"/>
            <w:r w:rsidRPr="00106E53">
              <w:rPr>
                <w:rFonts w:cs="Arial"/>
                <w:b/>
                <w:sz w:val="16"/>
                <w:szCs w:val="16"/>
                <w:lang w:val="cs-CZ"/>
              </w:rPr>
              <w:t>L</w:t>
            </w:r>
            <w:r w:rsidR="00CD5747" w:rsidRPr="00106E53">
              <w:rPr>
                <w:rFonts w:cs="Arial"/>
                <w:b/>
                <w:sz w:val="16"/>
                <w:szCs w:val="16"/>
                <w:lang w:val="cs-CZ"/>
              </w:rPr>
              <w:t>t</w:t>
            </w:r>
            <w:r w:rsidRPr="00106E53">
              <w:rPr>
                <w:rFonts w:cs="Arial"/>
                <w:b/>
                <w:sz w:val="16"/>
                <w:szCs w:val="16"/>
                <w:lang w:val="cs-CZ"/>
              </w:rPr>
              <w:t>d)</w:t>
            </w:r>
            <w:r w:rsidRPr="00475828">
              <w:rPr>
                <w:rFonts w:cs="Arial"/>
                <w:sz w:val="16"/>
                <w:szCs w:val="16"/>
                <w:lang w:val="cs-CZ"/>
              </w:rPr>
              <w:t xml:space="preserve"> </w:t>
            </w:r>
            <w:r w:rsidR="00106E53">
              <w:rPr>
                <w:rFonts w:cs="Arial"/>
                <w:sz w:val="16"/>
                <w:szCs w:val="16"/>
                <w:lang w:val="cs-CZ"/>
              </w:rPr>
              <w:t>(</w:t>
            </w:r>
            <w:r w:rsidRPr="00475828">
              <w:rPr>
                <w:rFonts w:cs="Arial"/>
                <w:sz w:val="16"/>
                <w:szCs w:val="16"/>
                <w:lang w:val="cs-CZ"/>
              </w:rPr>
              <w:t>~18</w:t>
            </w:r>
            <w:proofErr w:type="gramEnd"/>
            <w:r w:rsidRPr="00475828">
              <w:rPr>
                <w:rFonts w:cs="Arial"/>
                <w:sz w:val="16"/>
                <w:szCs w:val="16"/>
                <w:lang w:val="cs-CZ"/>
              </w:rPr>
              <w:t xml:space="preserve"> % dle tržeb, 19 % dle počtu uživatelů</w:t>
            </w:r>
            <w:r w:rsidRPr="00475828">
              <w:rPr>
                <w:rStyle w:val="Znakapoznpodarou"/>
                <w:rFonts w:cs="Arial"/>
                <w:sz w:val="16"/>
                <w:szCs w:val="16"/>
                <w:lang w:val="cs-CZ"/>
              </w:rPr>
              <w:footnoteReference w:id="22"/>
            </w:r>
            <w:r w:rsidR="00106E53">
              <w:rPr>
                <w:rFonts w:cs="Arial"/>
                <w:sz w:val="16"/>
                <w:szCs w:val="16"/>
                <w:lang w:val="cs-CZ"/>
              </w:rPr>
              <w:t>)</w:t>
            </w:r>
          </w:p>
          <w:p w14:paraId="06A35EBF" w14:textId="77777777" w:rsidR="00106E53"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 xml:space="preserve">Dohoda o sdílení byla uzavřena v roce 2011 mezi O2 a </w:t>
            </w:r>
            <w:proofErr w:type="spellStart"/>
            <w:r w:rsidRPr="00475828">
              <w:rPr>
                <w:rFonts w:cs="Arial"/>
                <w:sz w:val="16"/>
                <w:szCs w:val="16"/>
                <w:lang w:val="cs-CZ"/>
              </w:rPr>
              <w:t>Eircom</w:t>
            </w:r>
            <w:proofErr w:type="spellEnd"/>
            <w:r w:rsidRPr="00475828">
              <w:rPr>
                <w:rFonts w:cs="Arial"/>
                <w:sz w:val="16"/>
                <w:szCs w:val="16"/>
                <w:lang w:val="cs-CZ"/>
              </w:rPr>
              <w:t xml:space="preserve">. Po spojení mezi </w:t>
            </w:r>
            <w:proofErr w:type="spellStart"/>
            <w:r w:rsidRPr="00475828">
              <w:rPr>
                <w:rFonts w:cs="Arial"/>
                <w:sz w:val="16"/>
                <w:szCs w:val="16"/>
                <w:lang w:val="cs-CZ"/>
              </w:rPr>
              <w:t>Three</w:t>
            </w:r>
            <w:proofErr w:type="spellEnd"/>
            <w:r w:rsidRPr="00475828">
              <w:rPr>
                <w:rFonts w:cs="Arial"/>
                <w:sz w:val="16"/>
                <w:szCs w:val="16"/>
                <w:lang w:val="cs-CZ"/>
              </w:rPr>
              <w:t xml:space="preserve"> a O2 k dohodě přistoupil v 8/2014 také </w:t>
            </w:r>
            <w:proofErr w:type="spellStart"/>
            <w:r w:rsidRPr="00106E53">
              <w:rPr>
                <w:rFonts w:cs="Arial"/>
                <w:b/>
                <w:sz w:val="16"/>
                <w:szCs w:val="16"/>
                <w:lang w:val="cs-CZ"/>
              </w:rPr>
              <w:t>Three</w:t>
            </w:r>
            <w:proofErr w:type="spellEnd"/>
            <w:r w:rsidRPr="00475828">
              <w:rPr>
                <w:rFonts w:cs="Arial"/>
                <w:sz w:val="16"/>
                <w:szCs w:val="16"/>
                <w:lang w:val="cs-CZ"/>
              </w:rPr>
              <w:t xml:space="preserve"> (10% tržní podíl dle tržeb i počtu uživatelů).</w:t>
            </w:r>
            <w:r w:rsidRPr="00475828">
              <w:rPr>
                <w:rStyle w:val="Znakapoznpodarou"/>
                <w:rFonts w:cs="Arial"/>
                <w:sz w:val="16"/>
                <w:szCs w:val="16"/>
                <w:lang w:val="cs-CZ"/>
              </w:rPr>
              <w:footnoteReference w:id="23"/>
            </w:r>
            <w:r w:rsidRPr="00475828">
              <w:rPr>
                <w:rFonts w:cs="Arial"/>
                <w:sz w:val="16"/>
                <w:szCs w:val="16"/>
                <w:lang w:val="cs-CZ"/>
              </w:rPr>
              <w:t xml:space="preserve"> </w:t>
            </w:r>
          </w:p>
          <w:p w14:paraId="44768680"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proofErr w:type="spellStart"/>
            <w:r w:rsidRPr="00475828">
              <w:rPr>
                <w:rFonts w:cs="Arial"/>
                <w:sz w:val="16"/>
                <w:szCs w:val="16"/>
                <w:lang w:val="cs-CZ"/>
              </w:rPr>
              <w:t>Three</w:t>
            </w:r>
            <w:proofErr w:type="spellEnd"/>
            <w:r w:rsidRPr="00475828">
              <w:rPr>
                <w:rFonts w:cs="Arial"/>
                <w:sz w:val="16"/>
                <w:szCs w:val="16"/>
                <w:lang w:val="cs-CZ"/>
              </w:rPr>
              <w:t xml:space="preserve"> je </w:t>
            </w:r>
            <w:r w:rsidR="00106E53">
              <w:rPr>
                <w:rFonts w:cs="Arial"/>
                <w:sz w:val="16"/>
                <w:szCs w:val="16"/>
                <w:lang w:val="cs-CZ"/>
              </w:rPr>
              <w:t xml:space="preserve">součástí </w:t>
            </w:r>
            <w:proofErr w:type="spellStart"/>
            <w:r w:rsidRPr="00475828">
              <w:rPr>
                <w:rFonts w:cs="Arial"/>
                <w:sz w:val="16"/>
                <w:szCs w:val="16"/>
                <w:lang w:val="cs-CZ"/>
              </w:rPr>
              <w:t>Hutchinson</w:t>
            </w:r>
            <w:proofErr w:type="spellEnd"/>
            <w:r w:rsidRPr="00475828">
              <w:rPr>
                <w:rFonts w:cs="Arial"/>
                <w:sz w:val="16"/>
                <w:szCs w:val="16"/>
                <w:lang w:val="cs-CZ"/>
              </w:rPr>
              <w:t xml:space="preserve"> Group. </w:t>
            </w:r>
          </w:p>
        </w:tc>
        <w:tc>
          <w:tcPr>
            <w:tcW w:w="552" w:type="pct"/>
            <w:shd w:val="clear" w:color="auto" w:fill="DAEEF3" w:themeFill="accent5" w:themeFillTint="33"/>
          </w:tcPr>
          <w:p w14:paraId="1212B06C"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proofErr w:type="spellStart"/>
            <w:r w:rsidRPr="00475828">
              <w:rPr>
                <w:rFonts w:cs="Arial"/>
                <w:sz w:val="16"/>
                <w:szCs w:val="16"/>
                <w:lang w:val="cs-CZ"/>
              </w:rPr>
              <w:t>Infrastructure</w:t>
            </w:r>
            <w:proofErr w:type="spellEnd"/>
            <w:r w:rsidRPr="00475828">
              <w:rPr>
                <w:rFonts w:cs="Arial"/>
                <w:sz w:val="16"/>
                <w:szCs w:val="16"/>
                <w:lang w:val="cs-CZ"/>
              </w:rPr>
              <w:t xml:space="preserve"> </w:t>
            </w:r>
            <w:proofErr w:type="spellStart"/>
            <w:r w:rsidRPr="00475828">
              <w:rPr>
                <w:rFonts w:cs="Arial"/>
                <w:sz w:val="16"/>
                <w:szCs w:val="16"/>
                <w:lang w:val="cs-CZ"/>
              </w:rPr>
              <w:t>sharing</w:t>
            </w:r>
            <w:proofErr w:type="spellEnd"/>
          </w:p>
          <w:p w14:paraId="7206E37E"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 xml:space="preserve">(sdílení lokalit, napájení, stožárů a </w:t>
            </w:r>
            <w:proofErr w:type="spellStart"/>
            <w:r w:rsidRPr="00475828">
              <w:rPr>
                <w:rFonts w:cs="Arial"/>
                <w:sz w:val="16"/>
                <w:szCs w:val="16"/>
                <w:lang w:val="cs-CZ"/>
              </w:rPr>
              <w:t>backhaulu</w:t>
            </w:r>
            <w:proofErr w:type="spellEnd"/>
            <w:r w:rsidRPr="00475828">
              <w:rPr>
                <w:rFonts w:cs="Arial"/>
                <w:sz w:val="16"/>
                <w:szCs w:val="16"/>
                <w:lang w:val="cs-CZ"/>
              </w:rPr>
              <w:t>)</w:t>
            </w:r>
          </w:p>
          <w:p w14:paraId="0D5244D3"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Strany výslovně uvádí, že v rámci sdílení nedochází k převodu aktiv či sdílení spektra.</w:t>
            </w:r>
            <w:r w:rsidRPr="00475828">
              <w:rPr>
                <w:rStyle w:val="Znakapoznpodarou"/>
                <w:rFonts w:cs="Arial"/>
                <w:sz w:val="16"/>
                <w:szCs w:val="16"/>
                <w:lang w:val="cs-CZ"/>
              </w:rPr>
              <w:footnoteReference w:id="24"/>
            </w:r>
          </w:p>
        </w:tc>
        <w:tc>
          <w:tcPr>
            <w:tcW w:w="460" w:type="pct"/>
            <w:shd w:val="clear" w:color="auto" w:fill="DAEEF3" w:themeFill="accent5" w:themeFillTint="33"/>
          </w:tcPr>
          <w:p w14:paraId="2827036F"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2011 - 2030</w:t>
            </w:r>
            <w:r w:rsidRPr="00475828">
              <w:rPr>
                <w:rStyle w:val="Znakapoznpodarou"/>
                <w:rFonts w:cs="Arial"/>
                <w:sz w:val="16"/>
                <w:szCs w:val="16"/>
                <w:lang w:val="cs-CZ"/>
              </w:rPr>
              <w:footnoteReference w:id="25"/>
            </w:r>
          </w:p>
          <w:p w14:paraId="7BBB7650" w14:textId="2D2FD80B"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Revize dohody a</w:t>
            </w:r>
            <w:r w:rsidR="00247FC2">
              <w:rPr>
                <w:rFonts w:cs="Arial"/>
                <w:sz w:val="16"/>
                <w:szCs w:val="16"/>
                <w:lang w:val="cs-CZ"/>
              </w:rPr>
              <w:t> </w:t>
            </w:r>
            <w:r w:rsidRPr="00475828">
              <w:rPr>
                <w:rFonts w:cs="Arial"/>
                <w:sz w:val="16"/>
                <w:szCs w:val="16"/>
                <w:lang w:val="cs-CZ"/>
              </w:rPr>
              <w:t xml:space="preserve">přistoupení </w:t>
            </w:r>
            <w:proofErr w:type="spellStart"/>
            <w:r w:rsidRPr="00475828">
              <w:rPr>
                <w:rFonts w:cs="Arial"/>
                <w:sz w:val="16"/>
                <w:szCs w:val="16"/>
                <w:lang w:val="cs-CZ"/>
              </w:rPr>
              <w:t>Three</w:t>
            </w:r>
            <w:proofErr w:type="spellEnd"/>
            <w:r w:rsidRPr="00475828">
              <w:rPr>
                <w:rFonts w:cs="Arial"/>
                <w:sz w:val="16"/>
                <w:szCs w:val="16"/>
                <w:lang w:val="cs-CZ"/>
              </w:rPr>
              <w:t xml:space="preserve"> v roce 2014</w:t>
            </w:r>
          </w:p>
        </w:tc>
        <w:tc>
          <w:tcPr>
            <w:tcW w:w="550" w:type="pct"/>
            <w:shd w:val="clear" w:color="auto" w:fill="DAEEF3" w:themeFill="accent5" w:themeFillTint="33"/>
          </w:tcPr>
          <w:p w14:paraId="61B6D5B8" w14:textId="1F7FE2DC"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V roce 2011 uzavřena dohoda o</w:t>
            </w:r>
            <w:r w:rsidR="00247FC2">
              <w:rPr>
                <w:rFonts w:cs="Arial"/>
                <w:sz w:val="16"/>
                <w:szCs w:val="16"/>
                <w:lang w:val="cs-CZ"/>
              </w:rPr>
              <w:t> </w:t>
            </w:r>
            <w:r w:rsidRPr="00475828">
              <w:rPr>
                <w:rFonts w:cs="Arial"/>
                <w:sz w:val="16"/>
                <w:szCs w:val="16"/>
                <w:lang w:val="cs-CZ"/>
              </w:rPr>
              <w:t xml:space="preserve">sdílení infrastruktury mezi O2 a </w:t>
            </w:r>
            <w:proofErr w:type="spellStart"/>
            <w:r w:rsidRPr="00475828">
              <w:rPr>
                <w:rFonts w:cs="Arial"/>
                <w:sz w:val="16"/>
                <w:szCs w:val="16"/>
                <w:lang w:val="cs-CZ"/>
              </w:rPr>
              <w:t>Eircom</w:t>
            </w:r>
            <w:proofErr w:type="spellEnd"/>
          </w:p>
          <w:p w14:paraId="3E31DB05"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 xml:space="preserve">V roce 2014 </w:t>
            </w:r>
            <w:proofErr w:type="spellStart"/>
            <w:r w:rsidRPr="00475828">
              <w:rPr>
                <w:rFonts w:cs="Arial"/>
                <w:sz w:val="16"/>
                <w:szCs w:val="16"/>
                <w:lang w:val="cs-CZ"/>
              </w:rPr>
              <w:t>Three</w:t>
            </w:r>
            <w:proofErr w:type="spellEnd"/>
            <w:r w:rsidRPr="00475828">
              <w:rPr>
                <w:rFonts w:cs="Arial"/>
                <w:sz w:val="16"/>
                <w:szCs w:val="16"/>
                <w:lang w:val="cs-CZ"/>
              </w:rPr>
              <w:t xml:space="preserve"> koupil O2 a podmínkou povolení spojení podniků byla mj. úprava podmínek smlouvy o 3G </w:t>
            </w:r>
            <w:proofErr w:type="spellStart"/>
            <w:r w:rsidRPr="00475828">
              <w:rPr>
                <w:rFonts w:cs="Arial"/>
                <w:sz w:val="16"/>
                <w:szCs w:val="16"/>
                <w:lang w:val="cs-CZ"/>
              </w:rPr>
              <w:t>sharingu</w:t>
            </w:r>
            <w:proofErr w:type="spellEnd"/>
            <w:r w:rsidRPr="00475828">
              <w:rPr>
                <w:rFonts w:cs="Arial"/>
                <w:sz w:val="16"/>
                <w:szCs w:val="16"/>
                <w:lang w:val="cs-CZ"/>
              </w:rPr>
              <w:t xml:space="preserve"> mezi O2 a </w:t>
            </w:r>
            <w:proofErr w:type="spellStart"/>
            <w:r w:rsidRPr="00475828">
              <w:rPr>
                <w:rFonts w:cs="Arial"/>
                <w:sz w:val="16"/>
                <w:szCs w:val="16"/>
                <w:lang w:val="cs-CZ"/>
              </w:rPr>
              <w:t>Eircom</w:t>
            </w:r>
            <w:proofErr w:type="spellEnd"/>
            <w:r w:rsidRPr="00475828">
              <w:rPr>
                <w:rFonts w:cs="Arial"/>
                <w:sz w:val="16"/>
                <w:szCs w:val="16"/>
                <w:lang w:val="cs-CZ"/>
              </w:rPr>
              <w:t>.</w:t>
            </w:r>
          </w:p>
          <w:p w14:paraId="19AC2D3B"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V roce 2014 byla dohoda o sdílení rozšířena na 4G sítě.</w:t>
            </w:r>
          </w:p>
        </w:tc>
        <w:tc>
          <w:tcPr>
            <w:tcW w:w="2116" w:type="pct"/>
            <w:shd w:val="clear" w:color="auto" w:fill="DAEEF3" w:themeFill="accent5" w:themeFillTint="33"/>
          </w:tcPr>
          <w:p w14:paraId="7D4FDED0"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 xml:space="preserve">Komise schválila spojení O2 a </w:t>
            </w:r>
            <w:proofErr w:type="spellStart"/>
            <w:r w:rsidRPr="00475828">
              <w:rPr>
                <w:rFonts w:cs="Arial"/>
                <w:sz w:val="16"/>
                <w:szCs w:val="16"/>
                <w:lang w:val="cs-CZ"/>
              </w:rPr>
              <w:t>Three</w:t>
            </w:r>
            <w:proofErr w:type="spellEnd"/>
            <w:r w:rsidRPr="00475828">
              <w:rPr>
                <w:rFonts w:cs="Arial"/>
                <w:sz w:val="16"/>
                <w:szCs w:val="16"/>
                <w:lang w:val="cs-CZ"/>
              </w:rPr>
              <w:t xml:space="preserve"> pod podmínkou, že smlouva o RAN </w:t>
            </w:r>
            <w:proofErr w:type="spellStart"/>
            <w:r w:rsidRPr="00475828">
              <w:rPr>
                <w:rFonts w:cs="Arial"/>
                <w:sz w:val="16"/>
                <w:szCs w:val="16"/>
                <w:lang w:val="cs-CZ"/>
              </w:rPr>
              <w:t>sharingu</w:t>
            </w:r>
            <w:proofErr w:type="spellEnd"/>
            <w:r w:rsidRPr="00475828">
              <w:rPr>
                <w:rFonts w:cs="Arial"/>
                <w:sz w:val="16"/>
                <w:szCs w:val="16"/>
                <w:lang w:val="cs-CZ"/>
              </w:rPr>
              <w:t xml:space="preserve"> 3G sítí mezi </w:t>
            </w:r>
            <w:proofErr w:type="spellStart"/>
            <w:r w:rsidRPr="00475828">
              <w:rPr>
                <w:rFonts w:cs="Arial"/>
                <w:sz w:val="16"/>
                <w:szCs w:val="16"/>
                <w:lang w:val="cs-CZ"/>
              </w:rPr>
              <w:t>Eircom</w:t>
            </w:r>
            <w:proofErr w:type="spellEnd"/>
            <w:r w:rsidRPr="00475828">
              <w:rPr>
                <w:rFonts w:cs="Arial"/>
                <w:sz w:val="16"/>
                <w:szCs w:val="16"/>
                <w:lang w:val="cs-CZ"/>
              </w:rPr>
              <w:t xml:space="preserve"> a O2 nebude ohrožena a dojde navíc k úpravě podmínek, tak aby nebyla ohrožena pozice </w:t>
            </w:r>
            <w:proofErr w:type="spellStart"/>
            <w:r w:rsidRPr="00475828">
              <w:rPr>
                <w:rFonts w:cs="Arial"/>
                <w:sz w:val="16"/>
                <w:szCs w:val="16"/>
                <w:lang w:val="cs-CZ"/>
              </w:rPr>
              <w:t>Eircom</w:t>
            </w:r>
            <w:proofErr w:type="spellEnd"/>
            <w:r w:rsidRPr="00475828">
              <w:rPr>
                <w:rFonts w:cs="Arial"/>
                <w:sz w:val="16"/>
                <w:szCs w:val="16"/>
                <w:lang w:val="cs-CZ"/>
              </w:rPr>
              <w:t xml:space="preserve"> jako soutěžitele. </w:t>
            </w:r>
          </w:p>
          <w:p w14:paraId="7C23BC1B"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p>
          <w:p w14:paraId="01F46367"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Irský NRA (</w:t>
            </w:r>
            <w:proofErr w:type="spellStart"/>
            <w:r w:rsidRPr="00475828">
              <w:rPr>
                <w:rFonts w:cs="Arial"/>
                <w:sz w:val="16"/>
                <w:szCs w:val="16"/>
                <w:lang w:val="cs-CZ"/>
              </w:rPr>
              <w:t>ComReg</w:t>
            </w:r>
            <w:proofErr w:type="spellEnd"/>
            <w:r w:rsidRPr="00475828">
              <w:rPr>
                <w:rFonts w:cs="Arial"/>
                <w:sz w:val="16"/>
                <w:szCs w:val="16"/>
                <w:lang w:val="cs-CZ"/>
              </w:rPr>
              <w:t xml:space="preserve">) se vyjádřil kriticky k povolení spojení, jelikož se domnívá, že podmínky jsou neurčité a nedostatečně silné k zabránění koncentrace trhu a zhoršení </w:t>
            </w:r>
            <w:r w:rsidR="00A163E1">
              <w:rPr>
                <w:rFonts w:cs="Arial"/>
                <w:sz w:val="16"/>
                <w:szCs w:val="16"/>
                <w:lang w:val="cs-CZ"/>
              </w:rPr>
              <w:t>hospodářské</w:t>
            </w:r>
            <w:r w:rsidRPr="00475828">
              <w:rPr>
                <w:rFonts w:cs="Arial"/>
                <w:sz w:val="16"/>
                <w:szCs w:val="16"/>
                <w:lang w:val="cs-CZ"/>
              </w:rPr>
              <w:t xml:space="preserve"> soutěže.</w:t>
            </w:r>
            <w:r w:rsidRPr="00475828">
              <w:rPr>
                <w:rStyle w:val="Znakapoznpodarou"/>
                <w:rFonts w:cs="Arial"/>
                <w:sz w:val="16"/>
                <w:szCs w:val="16"/>
                <w:lang w:val="cs-CZ"/>
              </w:rPr>
              <w:footnoteReference w:id="26"/>
            </w:r>
          </w:p>
        </w:tc>
      </w:tr>
      <w:tr w:rsidR="005D6008" w:rsidRPr="00843D00" w14:paraId="69781021" w14:textId="77777777" w:rsidTr="00DF7720">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357" w:type="pct"/>
          </w:tcPr>
          <w:p w14:paraId="76B69D7B" w14:textId="77777777" w:rsidR="00351B10" w:rsidRPr="00106E53" w:rsidRDefault="00351B10" w:rsidP="00DF4E36">
            <w:pPr>
              <w:keepLines/>
              <w:jc w:val="left"/>
              <w:rPr>
                <w:rFonts w:cs="Arial"/>
                <w:sz w:val="16"/>
                <w:szCs w:val="16"/>
                <w:lang w:val="cs-CZ"/>
              </w:rPr>
            </w:pPr>
            <w:r w:rsidRPr="00106E53">
              <w:rPr>
                <w:rFonts w:cs="Arial"/>
                <w:sz w:val="16"/>
                <w:szCs w:val="16"/>
                <w:lang w:val="cs-CZ"/>
              </w:rPr>
              <w:t>Německo</w:t>
            </w:r>
          </w:p>
        </w:tc>
        <w:tc>
          <w:tcPr>
            <w:tcW w:w="138" w:type="pct"/>
          </w:tcPr>
          <w:p w14:paraId="56C46B5F"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sym w:font="Wingdings" w:char="F0FC"/>
            </w:r>
          </w:p>
        </w:tc>
        <w:tc>
          <w:tcPr>
            <w:tcW w:w="138" w:type="pct"/>
          </w:tcPr>
          <w:p w14:paraId="485806BC"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p>
        </w:tc>
        <w:tc>
          <w:tcPr>
            <w:tcW w:w="689" w:type="pct"/>
          </w:tcPr>
          <w:p w14:paraId="7407315C"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t>T-Mobile (41,7 %)</w:t>
            </w:r>
          </w:p>
          <w:p w14:paraId="52FD992C"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t>O2 (7,8 %)</w:t>
            </w:r>
            <w:r w:rsidRPr="00475828">
              <w:rPr>
                <w:rStyle w:val="Znakapoznpodarou"/>
                <w:rFonts w:cs="Arial"/>
                <w:sz w:val="16"/>
                <w:szCs w:val="16"/>
                <w:lang w:val="cs-CZ"/>
              </w:rPr>
              <w:footnoteReference w:id="27"/>
            </w:r>
          </w:p>
          <w:p w14:paraId="65EA0579"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p>
          <w:p w14:paraId="5DE0E0A7"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t>Na základě předpokladu, že tržní podíly pro 2G sítě jsou podobné, jelikož v době posuzování u Komise neexistovala ještě 3G síť</w:t>
            </w:r>
            <w:r w:rsidR="00106E53">
              <w:rPr>
                <w:rFonts w:cs="Arial"/>
                <w:sz w:val="16"/>
                <w:szCs w:val="16"/>
                <w:lang w:val="cs-CZ"/>
              </w:rPr>
              <w:t>.</w:t>
            </w:r>
            <w:r w:rsidRPr="00475828">
              <w:rPr>
                <w:rStyle w:val="Znakapoznpodarou"/>
                <w:rFonts w:cs="Arial"/>
                <w:sz w:val="16"/>
                <w:szCs w:val="16"/>
                <w:lang w:val="cs-CZ"/>
              </w:rPr>
              <w:footnoteReference w:id="28"/>
            </w:r>
          </w:p>
        </w:tc>
        <w:tc>
          <w:tcPr>
            <w:tcW w:w="552" w:type="pct"/>
          </w:tcPr>
          <w:p w14:paraId="17173D83" w14:textId="082EC2A1"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proofErr w:type="spellStart"/>
            <w:r w:rsidRPr="00475828">
              <w:rPr>
                <w:rFonts w:cs="Arial"/>
                <w:sz w:val="16"/>
                <w:szCs w:val="16"/>
                <w:lang w:val="cs-CZ"/>
              </w:rPr>
              <w:t>Site</w:t>
            </w:r>
            <w:proofErr w:type="spellEnd"/>
            <w:r w:rsidRPr="00475828">
              <w:rPr>
                <w:rFonts w:cs="Arial"/>
                <w:sz w:val="16"/>
                <w:szCs w:val="16"/>
                <w:lang w:val="cs-CZ"/>
              </w:rPr>
              <w:t xml:space="preserve"> </w:t>
            </w:r>
            <w:proofErr w:type="spellStart"/>
            <w:r w:rsidRPr="00475828">
              <w:rPr>
                <w:rFonts w:cs="Arial"/>
                <w:sz w:val="16"/>
                <w:szCs w:val="16"/>
                <w:lang w:val="cs-CZ"/>
              </w:rPr>
              <w:t>sharing</w:t>
            </w:r>
            <w:proofErr w:type="spellEnd"/>
            <w:r w:rsidRPr="00475828">
              <w:rPr>
                <w:rFonts w:cs="Arial"/>
                <w:sz w:val="16"/>
                <w:szCs w:val="16"/>
                <w:lang w:val="cs-CZ"/>
              </w:rPr>
              <w:t xml:space="preserve">, RAN </w:t>
            </w:r>
            <w:proofErr w:type="spellStart"/>
            <w:r w:rsidRPr="00475828">
              <w:rPr>
                <w:rFonts w:cs="Arial"/>
                <w:sz w:val="16"/>
                <w:szCs w:val="16"/>
                <w:lang w:val="cs-CZ"/>
              </w:rPr>
              <w:t>sharing</w:t>
            </w:r>
            <w:proofErr w:type="spellEnd"/>
            <w:r w:rsidRPr="00475828">
              <w:rPr>
                <w:rFonts w:cs="Arial"/>
                <w:sz w:val="16"/>
                <w:szCs w:val="16"/>
                <w:lang w:val="cs-CZ"/>
              </w:rPr>
              <w:t xml:space="preserve"> a národní roaming</w:t>
            </w:r>
            <w:r w:rsidRPr="00475828">
              <w:rPr>
                <w:rStyle w:val="Znakapoznpodarou"/>
                <w:rFonts w:cs="Arial"/>
                <w:sz w:val="16"/>
                <w:szCs w:val="16"/>
                <w:lang w:val="cs-CZ"/>
              </w:rPr>
              <w:footnoteReference w:id="29"/>
            </w:r>
          </w:p>
        </w:tc>
        <w:tc>
          <w:tcPr>
            <w:tcW w:w="460" w:type="pct"/>
          </w:tcPr>
          <w:p w14:paraId="719F9212" w14:textId="77777777" w:rsidR="00106E53"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t xml:space="preserve">2003 – 2011 </w:t>
            </w:r>
          </w:p>
          <w:p w14:paraId="11B3A152"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t>(možnost prodloužit o 2 roky)</w:t>
            </w:r>
          </w:p>
        </w:tc>
        <w:tc>
          <w:tcPr>
            <w:tcW w:w="550" w:type="pct"/>
          </w:tcPr>
          <w:p w14:paraId="3340861B" w14:textId="04ED5084"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t>Sdílení lokalit a</w:t>
            </w:r>
            <w:r w:rsidR="00247FC2">
              <w:rPr>
                <w:rFonts w:cs="Arial"/>
                <w:sz w:val="16"/>
                <w:szCs w:val="16"/>
                <w:lang w:val="cs-CZ"/>
              </w:rPr>
              <w:t> </w:t>
            </w:r>
            <w:r w:rsidRPr="00475828">
              <w:rPr>
                <w:rFonts w:cs="Arial"/>
                <w:sz w:val="16"/>
                <w:szCs w:val="16"/>
                <w:lang w:val="cs-CZ"/>
              </w:rPr>
              <w:t>prvků pasivní sítě (stožáry, SSC, napájení) tak</w:t>
            </w:r>
            <w:r w:rsidR="007205AE">
              <w:rPr>
                <w:rFonts w:cs="Arial"/>
                <w:sz w:val="16"/>
                <w:szCs w:val="16"/>
                <w:lang w:val="cs-CZ"/>
              </w:rPr>
              <w:t>,</w:t>
            </w:r>
            <w:r w:rsidRPr="00475828">
              <w:rPr>
                <w:rFonts w:cs="Arial"/>
                <w:sz w:val="16"/>
                <w:szCs w:val="16"/>
                <w:lang w:val="cs-CZ"/>
              </w:rPr>
              <w:t xml:space="preserve"> aby obě strany splnily zákonné minimální pokrytí 50 % do konce 2005</w:t>
            </w:r>
          </w:p>
          <w:p w14:paraId="4D657FF1"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p>
          <w:p w14:paraId="49EA1AFD"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t xml:space="preserve">Smlouva o sdílení předpokládala, že strany mohou v </w:t>
            </w:r>
            <w:r w:rsidR="00A163E1" w:rsidRPr="00475828">
              <w:rPr>
                <w:rFonts w:cs="Arial"/>
                <w:sz w:val="16"/>
                <w:szCs w:val="16"/>
                <w:lang w:val="cs-CZ"/>
              </w:rPr>
              <w:t>budou</w:t>
            </w:r>
            <w:r w:rsidR="00A163E1">
              <w:rPr>
                <w:rFonts w:cs="Arial"/>
                <w:sz w:val="16"/>
                <w:szCs w:val="16"/>
                <w:lang w:val="cs-CZ"/>
              </w:rPr>
              <w:t>c</w:t>
            </w:r>
            <w:r w:rsidR="00A163E1" w:rsidRPr="00475828">
              <w:rPr>
                <w:rFonts w:cs="Arial"/>
                <w:sz w:val="16"/>
                <w:szCs w:val="16"/>
                <w:lang w:val="cs-CZ"/>
              </w:rPr>
              <w:t xml:space="preserve">nu </w:t>
            </w:r>
            <w:r w:rsidRPr="00475828">
              <w:rPr>
                <w:rFonts w:cs="Arial"/>
                <w:sz w:val="16"/>
                <w:szCs w:val="16"/>
                <w:lang w:val="cs-CZ"/>
              </w:rPr>
              <w:t xml:space="preserve">přejít na RAN </w:t>
            </w:r>
            <w:proofErr w:type="spellStart"/>
            <w:r w:rsidRPr="00475828">
              <w:rPr>
                <w:rFonts w:cs="Arial"/>
                <w:sz w:val="16"/>
                <w:szCs w:val="16"/>
                <w:lang w:val="cs-CZ"/>
              </w:rPr>
              <w:t>sharing</w:t>
            </w:r>
            <w:proofErr w:type="spellEnd"/>
            <w:r w:rsidRPr="00475828">
              <w:rPr>
                <w:rFonts w:cs="Arial"/>
                <w:sz w:val="16"/>
                <w:szCs w:val="16"/>
                <w:lang w:val="cs-CZ"/>
              </w:rPr>
              <w:t xml:space="preserve">, </w:t>
            </w:r>
            <w:r w:rsidR="00A163E1">
              <w:rPr>
                <w:rFonts w:cs="Arial"/>
                <w:sz w:val="16"/>
                <w:szCs w:val="16"/>
                <w:lang w:val="cs-CZ"/>
              </w:rPr>
              <w:t> do doby</w:t>
            </w:r>
            <w:r w:rsidRPr="00475828">
              <w:rPr>
                <w:rFonts w:cs="Arial"/>
                <w:sz w:val="16"/>
                <w:szCs w:val="16"/>
                <w:lang w:val="cs-CZ"/>
              </w:rPr>
              <w:t xml:space="preserve"> posouzení Komisí k tomu </w:t>
            </w:r>
            <w:r w:rsidR="00A163E1">
              <w:rPr>
                <w:rFonts w:cs="Arial"/>
                <w:sz w:val="16"/>
                <w:szCs w:val="16"/>
                <w:lang w:val="cs-CZ"/>
              </w:rPr>
              <w:t xml:space="preserve">však </w:t>
            </w:r>
            <w:r w:rsidRPr="00475828">
              <w:rPr>
                <w:rFonts w:cs="Arial"/>
                <w:sz w:val="16"/>
                <w:szCs w:val="16"/>
                <w:lang w:val="cs-CZ"/>
              </w:rPr>
              <w:t>nedošlo.</w:t>
            </w:r>
            <w:r w:rsidRPr="00475828">
              <w:rPr>
                <w:rStyle w:val="Znakapoznpodarou"/>
                <w:rFonts w:cs="Arial"/>
                <w:sz w:val="16"/>
                <w:szCs w:val="16"/>
                <w:lang w:val="cs-CZ"/>
              </w:rPr>
              <w:footnoteReference w:id="30"/>
            </w:r>
            <w:r w:rsidRPr="00475828">
              <w:rPr>
                <w:rFonts w:cs="Arial"/>
                <w:sz w:val="16"/>
                <w:szCs w:val="16"/>
                <w:lang w:val="cs-CZ"/>
              </w:rPr>
              <w:t xml:space="preserve"> Jelikož modality RAN </w:t>
            </w:r>
            <w:proofErr w:type="spellStart"/>
            <w:r w:rsidRPr="00475828">
              <w:rPr>
                <w:rFonts w:cs="Arial"/>
                <w:sz w:val="16"/>
                <w:szCs w:val="16"/>
                <w:lang w:val="cs-CZ"/>
              </w:rPr>
              <w:t>sharingu</w:t>
            </w:r>
            <w:proofErr w:type="spellEnd"/>
            <w:r w:rsidRPr="00475828">
              <w:rPr>
                <w:rFonts w:cs="Arial"/>
                <w:sz w:val="16"/>
                <w:szCs w:val="16"/>
                <w:lang w:val="cs-CZ"/>
              </w:rPr>
              <w:t xml:space="preserve"> nebyly dostatečně vymezeny, aby je mohla Komise vyhodnotit ve vztahu k čl. 81 SES,</w:t>
            </w:r>
            <w:r w:rsidRPr="00475828">
              <w:rPr>
                <w:rStyle w:val="Znakapoznpodarou"/>
                <w:rFonts w:cs="Arial"/>
                <w:sz w:val="16"/>
                <w:szCs w:val="16"/>
                <w:lang w:val="cs-CZ"/>
              </w:rPr>
              <w:footnoteReference w:id="31"/>
            </w:r>
            <w:r w:rsidRPr="00475828">
              <w:rPr>
                <w:rFonts w:cs="Arial"/>
                <w:sz w:val="16"/>
                <w:szCs w:val="16"/>
                <w:lang w:val="cs-CZ"/>
              </w:rPr>
              <w:t xml:space="preserve"> ponechala si Komise možnost vyhodnotit RAN </w:t>
            </w:r>
            <w:proofErr w:type="spellStart"/>
            <w:r w:rsidRPr="00475828">
              <w:rPr>
                <w:rFonts w:cs="Arial"/>
                <w:sz w:val="16"/>
                <w:szCs w:val="16"/>
                <w:lang w:val="cs-CZ"/>
              </w:rPr>
              <w:t>sharing</w:t>
            </w:r>
            <w:proofErr w:type="spellEnd"/>
            <w:r w:rsidRPr="00475828">
              <w:rPr>
                <w:rFonts w:cs="Arial"/>
                <w:sz w:val="16"/>
                <w:szCs w:val="16"/>
                <w:lang w:val="cs-CZ"/>
              </w:rPr>
              <w:t xml:space="preserve"> ve chvíli, kdy se k němu strany uchýlí.</w:t>
            </w:r>
            <w:r w:rsidRPr="00475828">
              <w:rPr>
                <w:rStyle w:val="Znakapoznpodarou"/>
                <w:rFonts w:cs="Arial"/>
                <w:sz w:val="16"/>
                <w:szCs w:val="16"/>
                <w:lang w:val="cs-CZ"/>
              </w:rPr>
              <w:footnoteReference w:id="32"/>
            </w:r>
            <w:r w:rsidRPr="00475828">
              <w:rPr>
                <w:rFonts w:cs="Arial"/>
                <w:sz w:val="16"/>
                <w:szCs w:val="16"/>
                <w:lang w:val="cs-CZ"/>
              </w:rPr>
              <w:t xml:space="preserve"> </w:t>
            </w:r>
          </w:p>
        </w:tc>
        <w:tc>
          <w:tcPr>
            <w:tcW w:w="2116" w:type="pct"/>
          </w:tcPr>
          <w:p w14:paraId="351A3EF7"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t>Komise schválila sdílení lokalit, výměny informací i národního roamingu, ale národní roaming omezila co do období na základě výjimky dle čl. 81 odst. 3 SES.</w:t>
            </w:r>
            <w:r w:rsidRPr="00475828">
              <w:rPr>
                <w:rStyle w:val="Znakapoznpodarou"/>
                <w:rFonts w:cs="Arial"/>
                <w:sz w:val="16"/>
                <w:szCs w:val="16"/>
                <w:lang w:val="cs-CZ"/>
              </w:rPr>
              <w:footnoteReference w:id="33"/>
            </w:r>
          </w:p>
          <w:p w14:paraId="4AEE6884"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t>Následně Tribunál zrušil časové omezení národního roamingu na základě nedostatečně provedené analýzy trhu, resp. neprovedení analýzy jak by tržní situace vypadala v případě neexistence dohody.</w:t>
            </w:r>
            <w:r w:rsidRPr="00475828">
              <w:rPr>
                <w:rStyle w:val="Znakapoznpodarou"/>
                <w:rFonts w:cs="Arial"/>
                <w:sz w:val="16"/>
                <w:szCs w:val="16"/>
                <w:lang w:val="cs-CZ"/>
              </w:rPr>
              <w:footnoteReference w:id="34"/>
            </w:r>
          </w:p>
          <w:p w14:paraId="372C612D" w14:textId="77777777" w:rsidR="00351B10" w:rsidRPr="00475828" w:rsidRDefault="00A163E1" w:rsidP="00DF4E36">
            <w:pPr>
              <w:keepLines/>
              <w:spacing w:before="0" w:after="0"/>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Pr>
                <w:rFonts w:cs="Arial"/>
                <w:sz w:val="16"/>
                <w:szCs w:val="16"/>
                <w:lang w:val="cs-CZ"/>
              </w:rPr>
              <w:t>Tehdejší německý NRA</w:t>
            </w:r>
            <w:r w:rsidR="00351B10" w:rsidRPr="00475828">
              <w:rPr>
                <w:rFonts w:cs="Arial"/>
                <w:sz w:val="16"/>
                <w:szCs w:val="16"/>
                <w:lang w:val="cs-CZ"/>
              </w:rPr>
              <w:t xml:space="preserve"> (</w:t>
            </w:r>
            <w:proofErr w:type="spellStart"/>
            <w:r w:rsidR="00351B10" w:rsidRPr="00475828">
              <w:rPr>
                <w:rFonts w:cs="Arial"/>
                <w:sz w:val="16"/>
                <w:szCs w:val="16"/>
                <w:lang w:val="cs-CZ"/>
              </w:rPr>
              <w:t>Regulierungsbehörde</w:t>
            </w:r>
            <w:proofErr w:type="spellEnd"/>
            <w:r w:rsidR="00351B10" w:rsidRPr="00475828">
              <w:rPr>
                <w:rFonts w:cs="Arial"/>
                <w:sz w:val="16"/>
                <w:szCs w:val="16"/>
                <w:lang w:val="cs-CZ"/>
              </w:rPr>
              <w:t xml:space="preserve"> </w:t>
            </w:r>
            <w:proofErr w:type="spellStart"/>
            <w:r w:rsidR="00351B10" w:rsidRPr="00475828">
              <w:rPr>
                <w:rFonts w:cs="Arial"/>
                <w:sz w:val="16"/>
                <w:szCs w:val="16"/>
                <w:lang w:val="cs-CZ"/>
              </w:rPr>
              <w:t>für</w:t>
            </w:r>
            <w:proofErr w:type="spellEnd"/>
            <w:r w:rsidR="00351B10" w:rsidRPr="00475828">
              <w:rPr>
                <w:rFonts w:cs="Arial"/>
                <w:sz w:val="16"/>
                <w:szCs w:val="16"/>
                <w:lang w:val="cs-CZ"/>
              </w:rPr>
              <w:t xml:space="preserve"> </w:t>
            </w:r>
            <w:proofErr w:type="spellStart"/>
            <w:r w:rsidR="00351B10" w:rsidRPr="00475828">
              <w:rPr>
                <w:rFonts w:cs="Arial"/>
                <w:sz w:val="16"/>
                <w:szCs w:val="16"/>
                <w:lang w:val="cs-CZ"/>
              </w:rPr>
              <w:t>Telekommunikation</w:t>
            </w:r>
            <w:proofErr w:type="spellEnd"/>
            <w:r w:rsidR="00351B10" w:rsidRPr="00475828">
              <w:rPr>
                <w:rFonts w:cs="Arial"/>
                <w:sz w:val="16"/>
                <w:szCs w:val="16"/>
                <w:lang w:val="cs-CZ"/>
              </w:rPr>
              <w:t xml:space="preserve"> </w:t>
            </w:r>
            <w:proofErr w:type="spellStart"/>
            <w:r w:rsidR="00351B10" w:rsidRPr="00475828">
              <w:rPr>
                <w:rFonts w:cs="Arial"/>
                <w:sz w:val="16"/>
                <w:szCs w:val="16"/>
                <w:lang w:val="cs-CZ"/>
              </w:rPr>
              <w:t>und</w:t>
            </w:r>
            <w:proofErr w:type="spellEnd"/>
            <w:r w:rsidR="00351B10" w:rsidRPr="00475828">
              <w:rPr>
                <w:rFonts w:cs="Arial"/>
                <w:sz w:val="16"/>
                <w:szCs w:val="16"/>
                <w:lang w:val="cs-CZ"/>
              </w:rPr>
              <w:t xml:space="preserve"> Post — </w:t>
            </w:r>
            <w:proofErr w:type="spellStart"/>
            <w:r w:rsidR="00351B10" w:rsidRPr="00475828">
              <w:rPr>
                <w:rFonts w:cs="Arial"/>
                <w:sz w:val="16"/>
                <w:szCs w:val="16"/>
                <w:lang w:val="cs-CZ"/>
              </w:rPr>
              <w:t>RegTP</w:t>
            </w:r>
            <w:proofErr w:type="spellEnd"/>
            <w:r w:rsidR="00351B10" w:rsidRPr="00475828">
              <w:rPr>
                <w:rFonts w:cs="Arial"/>
                <w:sz w:val="16"/>
                <w:szCs w:val="16"/>
                <w:lang w:val="cs-CZ"/>
              </w:rPr>
              <w:t>) vydal v roce 2001 pokyny ke sdílení infrastruktury, v němž se vyjádřil ke sdílení pozitivně v případě přijetí určitých podmínek.</w:t>
            </w:r>
            <w:r w:rsidR="00351B10" w:rsidRPr="00475828">
              <w:rPr>
                <w:rStyle w:val="Znakapoznpodarou"/>
                <w:rFonts w:cs="Arial"/>
                <w:sz w:val="16"/>
                <w:szCs w:val="16"/>
                <w:lang w:val="cs-CZ"/>
              </w:rPr>
              <w:footnoteReference w:id="35"/>
            </w:r>
            <w:r w:rsidR="00351B10" w:rsidRPr="00475828">
              <w:rPr>
                <w:rFonts w:cs="Arial"/>
                <w:sz w:val="16"/>
                <w:szCs w:val="16"/>
                <w:lang w:val="cs-CZ"/>
              </w:rPr>
              <w:t xml:space="preserve"> </w:t>
            </w:r>
            <w:proofErr w:type="spellStart"/>
            <w:r w:rsidR="00351B10" w:rsidRPr="00475828">
              <w:rPr>
                <w:rFonts w:cs="Arial"/>
                <w:sz w:val="16"/>
                <w:szCs w:val="16"/>
                <w:lang w:val="cs-CZ"/>
              </w:rPr>
              <w:t>RegTP</w:t>
            </w:r>
            <w:proofErr w:type="spellEnd"/>
            <w:r w:rsidR="00351B10" w:rsidRPr="00475828">
              <w:rPr>
                <w:rFonts w:cs="Arial"/>
                <w:sz w:val="16"/>
                <w:szCs w:val="16"/>
                <w:lang w:val="cs-CZ"/>
              </w:rPr>
              <w:t xml:space="preserve"> vyloučil sdílení jádra sítě a sdílení frekvencí, avšak zaujal pozitivní stanovisko ke sdílení pasivní infrastruktury a aktivní infrastruktury při: </w:t>
            </w:r>
          </w:p>
          <w:p w14:paraId="3C98D14A" w14:textId="77777777" w:rsidR="00351B10" w:rsidRPr="00475828" w:rsidRDefault="00351B10" w:rsidP="00DF4E36">
            <w:pPr>
              <w:keepLines/>
              <w:spacing w:before="0" w:after="0"/>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t xml:space="preserve">- zachování nezávislé kontroly nad vlastními základnovými stanicemi každého operátora, </w:t>
            </w:r>
          </w:p>
          <w:p w14:paraId="4DA1EAD5" w14:textId="77777777" w:rsidR="00351B10" w:rsidRPr="00475828" w:rsidRDefault="00351B10" w:rsidP="00DF4E36">
            <w:pPr>
              <w:keepLines/>
              <w:spacing w:before="0" w:after="0"/>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t xml:space="preserve">- limitaci výměny informací, jako např. zákaznická data, na výměnu nezbytnou k zajištění technické funkčnosti, </w:t>
            </w:r>
          </w:p>
          <w:p w14:paraId="57BADD3F" w14:textId="77777777" w:rsidR="00351B10" w:rsidRPr="00475828" w:rsidRDefault="00351B10" w:rsidP="00DF4E36">
            <w:pPr>
              <w:keepLines/>
              <w:spacing w:before="0" w:after="0"/>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t>- oddělení fungování a údržby řídících center (</w:t>
            </w:r>
            <w:proofErr w:type="spellStart"/>
            <w:r w:rsidRPr="00475828">
              <w:rPr>
                <w:rFonts w:cs="Arial"/>
                <w:sz w:val="16"/>
                <w:szCs w:val="16"/>
                <w:lang w:val="cs-CZ"/>
              </w:rPr>
              <w:t>RNCs</w:t>
            </w:r>
            <w:proofErr w:type="spellEnd"/>
            <w:r w:rsidRPr="00475828">
              <w:rPr>
                <w:rFonts w:cs="Arial"/>
                <w:sz w:val="16"/>
                <w:szCs w:val="16"/>
                <w:lang w:val="cs-CZ"/>
              </w:rPr>
              <w:t xml:space="preserve">), </w:t>
            </w:r>
          </w:p>
          <w:p w14:paraId="36C69AFF" w14:textId="77777777" w:rsidR="00351B10" w:rsidRPr="00475828" w:rsidRDefault="00351B10" w:rsidP="00DF4E36">
            <w:pPr>
              <w:keepLines/>
              <w:spacing w:before="0" w:after="0"/>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t>- zachování ne-exkluzivity,</w:t>
            </w:r>
          </w:p>
          <w:p w14:paraId="7C34EBB2" w14:textId="77777777" w:rsidR="00351B10" w:rsidRPr="00475828" w:rsidRDefault="00351B10" w:rsidP="00DF4E36">
            <w:pPr>
              <w:keepLines/>
              <w:spacing w:before="0" w:after="0"/>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t xml:space="preserve">- zajištění, že geografické rozdělení nezamezuje překrývající se sítě a pokrytá území.  </w:t>
            </w:r>
          </w:p>
          <w:p w14:paraId="1542FB4F" w14:textId="77777777" w:rsidR="00351B10" w:rsidRPr="00475828" w:rsidRDefault="00351B10" w:rsidP="00DF4E36">
            <w:pPr>
              <w:keepLines/>
              <w:spacing w:before="0" w:after="0"/>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p>
          <w:p w14:paraId="45AFD20D" w14:textId="77777777" w:rsidR="00351B10" w:rsidRPr="00475828" w:rsidRDefault="00351B10" w:rsidP="00DF4E36">
            <w:pPr>
              <w:keepLines/>
              <w:spacing w:before="0" w:after="0"/>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t xml:space="preserve">V prosinci 2001 </w:t>
            </w:r>
            <w:proofErr w:type="spellStart"/>
            <w:r w:rsidRPr="00475828">
              <w:rPr>
                <w:rFonts w:cs="Arial"/>
                <w:sz w:val="16"/>
                <w:szCs w:val="16"/>
                <w:lang w:val="cs-CZ"/>
              </w:rPr>
              <w:t>RegTP</w:t>
            </w:r>
            <w:proofErr w:type="spellEnd"/>
            <w:r w:rsidRPr="00475828">
              <w:rPr>
                <w:rFonts w:cs="Arial"/>
                <w:sz w:val="16"/>
                <w:szCs w:val="16"/>
                <w:lang w:val="cs-CZ"/>
              </w:rPr>
              <w:t xml:space="preserve"> rozhodl, že dohoda o sdílení splňuje tato kritéria za předpokladu, že si strany zajistí nezávislou kontrolou nad základnovými stanicemi a </w:t>
            </w:r>
            <w:proofErr w:type="spellStart"/>
            <w:r w:rsidRPr="00475828">
              <w:rPr>
                <w:rFonts w:cs="Arial"/>
                <w:sz w:val="16"/>
                <w:szCs w:val="16"/>
                <w:lang w:val="cs-CZ"/>
              </w:rPr>
              <w:t>RNCs</w:t>
            </w:r>
            <w:proofErr w:type="spellEnd"/>
            <w:r w:rsidRPr="00475828">
              <w:rPr>
                <w:rFonts w:cs="Arial"/>
                <w:sz w:val="16"/>
                <w:szCs w:val="16"/>
                <w:lang w:val="cs-CZ"/>
              </w:rPr>
              <w:t xml:space="preserve"> a dále uložil stranám povinnost reportingu.</w:t>
            </w:r>
            <w:r w:rsidRPr="00475828">
              <w:rPr>
                <w:rStyle w:val="Znakapoznpodarou"/>
                <w:rFonts w:cs="Arial"/>
                <w:sz w:val="16"/>
                <w:szCs w:val="16"/>
                <w:lang w:val="cs-CZ"/>
              </w:rPr>
              <w:footnoteReference w:id="36"/>
            </w:r>
            <w:r w:rsidRPr="00475828">
              <w:rPr>
                <w:rFonts w:cs="Arial"/>
                <w:sz w:val="16"/>
                <w:szCs w:val="16"/>
                <w:lang w:val="cs-CZ"/>
              </w:rPr>
              <w:t xml:space="preserve"> </w:t>
            </w:r>
          </w:p>
          <w:p w14:paraId="051A1A16" w14:textId="77777777" w:rsidR="00351B10" w:rsidRPr="00475828" w:rsidRDefault="00351B10" w:rsidP="00DF4E36">
            <w:pPr>
              <w:keepLines/>
              <w:spacing w:before="0" w:after="0"/>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p>
          <w:p w14:paraId="55677DE8" w14:textId="77777777" w:rsidR="00351B10" w:rsidRPr="00475828" w:rsidRDefault="00351B10" w:rsidP="00DF4E36">
            <w:pPr>
              <w:keepLines/>
              <w:spacing w:before="0" w:after="0"/>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t>Stávající NRA (</w:t>
            </w:r>
            <w:proofErr w:type="spellStart"/>
            <w:r w:rsidRPr="00475828">
              <w:rPr>
                <w:rFonts w:cs="Arial"/>
                <w:sz w:val="16"/>
                <w:szCs w:val="16"/>
                <w:lang w:val="cs-CZ"/>
              </w:rPr>
              <w:t>Bundesnetzagentur</w:t>
            </w:r>
            <w:proofErr w:type="spellEnd"/>
            <w:r w:rsidRPr="00475828">
              <w:rPr>
                <w:rFonts w:cs="Arial"/>
                <w:sz w:val="16"/>
                <w:szCs w:val="16"/>
                <w:lang w:val="cs-CZ"/>
              </w:rPr>
              <w:t xml:space="preserve">) vydal v roce 2010 revidované pokyny ke sdílení infrastruktury, v nichž se vyjádřil pozitivně ke sdílení pasivní infrastruktury i ke sdílení RAN za podmínek, že: </w:t>
            </w:r>
          </w:p>
          <w:p w14:paraId="7E5604CB" w14:textId="77777777" w:rsidR="00351B10" w:rsidRPr="00106E53" w:rsidRDefault="00351B10" w:rsidP="00DF4E36">
            <w:pPr>
              <w:pStyle w:val="Odstavecseseznamem"/>
              <w:keepLines/>
              <w:numPr>
                <w:ilvl w:val="0"/>
                <w:numId w:val="26"/>
              </w:numPr>
              <w:spacing w:before="0" w:after="0"/>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106E53">
              <w:rPr>
                <w:rFonts w:cs="Arial"/>
                <w:sz w:val="16"/>
                <w:szCs w:val="16"/>
                <w:lang w:val="cs-CZ"/>
              </w:rPr>
              <w:t xml:space="preserve">strany zajistí, že nadále zůstanou samostatnými soutěžiteli, </w:t>
            </w:r>
          </w:p>
          <w:p w14:paraId="4502E5F1" w14:textId="77777777" w:rsidR="00351B10" w:rsidRPr="00106E53" w:rsidRDefault="00351B10" w:rsidP="00DF4E36">
            <w:pPr>
              <w:pStyle w:val="Odstavecseseznamem"/>
              <w:keepLines/>
              <w:numPr>
                <w:ilvl w:val="0"/>
                <w:numId w:val="26"/>
              </w:numPr>
              <w:spacing w:before="0" w:after="0"/>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106E53">
              <w:rPr>
                <w:rFonts w:cs="Arial"/>
                <w:sz w:val="16"/>
                <w:szCs w:val="16"/>
                <w:lang w:val="cs-CZ"/>
              </w:rPr>
              <w:t>každá strana bude mít nezávislou kontrolu nad svou logickou částí základnových stanic a bude technicky zajištěno, aby každá strana mohla používat pouze své přidělené frekvence,</w:t>
            </w:r>
          </w:p>
          <w:p w14:paraId="1B3C34AE" w14:textId="77777777" w:rsidR="00351B10" w:rsidRPr="00106E53" w:rsidRDefault="00351B10" w:rsidP="00DF4E36">
            <w:pPr>
              <w:pStyle w:val="Odstavecseseznamem"/>
              <w:keepLines/>
              <w:numPr>
                <w:ilvl w:val="0"/>
                <w:numId w:val="26"/>
              </w:numPr>
              <w:spacing w:before="0" w:after="0"/>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106E53">
              <w:rPr>
                <w:rFonts w:cs="Arial"/>
                <w:sz w:val="16"/>
                <w:szCs w:val="16"/>
                <w:lang w:val="cs-CZ"/>
              </w:rPr>
              <w:t xml:space="preserve">zákaz výměny obchodních informací nad rámce nezbytnosti, </w:t>
            </w:r>
          </w:p>
          <w:p w14:paraId="6FBDC0CA" w14:textId="77777777" w:rsidR="00351B10" w:rsidRPr="00106E53" w:rsidRDefault="00351B10" w:rsidP="00DF4E36">
            <w:pPr>
              <w:pStyle w:val="Odstavecseseznamem"/>
              <w:keepLines/>
              <w:numPr>
                <w:ilvl w:val="0"/>
                <w:numId w:val="26"/>
              </w:numPr>
              <w:spacing w:before="0" w:after="0"/>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106E53">
              <w:rPr>
                <w:rFonts w:cs="Arial"/>
                <w:sz w:val="16"/>
                <w:szCs w:val="16"/>
                <w:lang w:val="cs-CZ"/>
              </w:rPr>
              <w:t xml:space="preserve">oddělení fungování a řízení center, </w:t>
            </w:r>
          </w:p>
          <w:p w14:paraId="5D99ED75" w14:textId="77777777" w:rsidR="00351B10" w:rsidRPr="00106E53" w:rsidRDefault="00351B10" w:rsidP="00DF4E36">
            <w:pPr>
              <w:pStyle w:val="Odstavecseseznamem"/>
              <w:keepLines/>
              <w:numPr>
                <w:ilvl w:val="0"/>
                <w:numId w:val="26"/>
              </w:numPr>
              <w:spacing w:before="0" w:after="0"/>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106E53">
              <w:rPr>
                <w:rFonts w:cs="Arial"/>
                <w:sz w:val="16"/>
                <w:szCs w:val="16"/>
                <w:lang w:val="cs-CZ"/>
              </w:rPr>
              <w:t xml:space="preserve">možnost stran přidávat a operovat další vlastní </w:t>
            </w:r>
            <w:r w:rsidR="00106E53" w:rsidRPr="00106E53">
              <w:rPr>
                <w:rFonts w:cs="Arial"/>
                <w:sz w:val="16"/>
                <w:szCs w:val="16"/>
                <w:lang w:val="cs-CZ"/>
              </w:rPr>
              <w:t>zákl</w:t>
            </w:r>
            <w:r w:rsidR="00106E53">
              <w:rPr>
                <w:rFonts w:cs="Arial"/>
                <w:sz w:val="16"/>
                <w:szCs w:val="16"/>
                <w:lang w:val="cs-CZ"/>
              </w:rPr>
              <w:t>adnové</w:t>
            </w:r>
            <w:r w:rsidR="00106E53" w:rsidRPr="00106E53">
              <w:rPr>
                <w:rFonts w:cs="Arial"/>
                <w:sz w:val="16"/>
                <w:szCs w:val="16"/>
                <w:lang w:val="cs-CZ"/>
              </w:rPr>
              <w:t xml:space="preserve"> </w:t>
            </w:r>
            <w:r w:rsidRPr="00106E53">
              <w:rPr>
                <w:rFonts w:cs="Arial"/>
                <w:sz w:val="16"/>
                <w:szCs w:val="16"/>
                <w:lang w:val="cs-CZ"/>
              </w:rPr>
              <w:t xml:space="preserve">stanice (tzv. plánovací nezávislost), </w:t>
            </w:r>
          </w:p>
          <w:p w14:paraId="753786E1" w14:textId="77777777" w:rsidR="00351B10" w:rsidRPr="00106E53" w:rsidRDefault="00351B10" w:rsidP="00DF4E36">
            <w:pPr>
              <w:pStyle w:val="Odstavecseseznamem"/>
              <w:keepLines/>
              <w:numPr>
                <w:ilvl w:val="0"/>
                <w:numId w:val="26"/>
              </w:numPr>
              <w:spacing w:before="0" w:after="0"/>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106E53">
              <w:rPr>
                <w:rFonts w:cs="Arial"/>
                <w:sz w:val="16"/>
                <w:szCs w:val="16"/>
                <w:lang w:val="cs-CZ"/>
              </w:rPr>
              <w:t xml:space="preserve">zákaz takového geografického rozdělení, které by znemožňovalo překrývání se sítí nebo pokrytých území.  </w:t>
            </w:r>
          </w:p>
          <w:p w14:paraId="6E3E5CB9" w14:textId="77777777" w:rsidR="00351B10" w:rsidRPr="00475828" w:rsidRDefault="00351B10" w:rsidP="00DF4E36">
            <w:pPr>
              <w:keepLines/>
              <w:spacing w:before="0" w:after="0"/>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t>V případě sdílení sítí nad rámec výše uvedených podmínek, je potřeba ad hoc prozkoumání NRA.</w:t>
            </w:r>
            <w:r w:rsidRPr="00475828">
              <w:rPr>
                <w:rStyle w:val="Znakapoznpodarou"/>
                <w:rFonts w:cs="Arial"/>
                <w:sz w:val="16"/>
                <w:szCs w:val="16"/>
                <w:lang w:val="cs-CZ"/>
              </w:rPr>
              <w:footnoteReference w:id="37"/>
            </w:r>
            <w:r w:rsidRPr="00475828">
              <w:rPr>
                <w:rFonts w:cs="Arial"/>
                <w:sz w:val="16"/>
                <w:szCs w:val="16"/>
                <w:lang w:val="cs-CZ"/>
              </w:rPr>
              <w:t xml:space="preserve">  </w:t>
            </w:r>
          </w:p>
        </w:tc>
      </w:tr>
      <w:tr w:rsidR="009470F3" w:rsidRPr="00843D00" w14:paraId="00918724" w14:textId="77777777" w:rsidTr="00DF7720">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357" w:type="pct"/>
            <w:shd w:val="clear" w:color="auto" w:fill="DAEEF3" w:themeFill="accent5" w:themeFillTint="33"/>
          </w:tcPr>
          <w:p w14:paraId="3E0FA39F" w14:textId="77777777" w:rsidR="00351B10" w:rsidRPr="00106E53" w:rsidRDefault="00351B10" w:rsidP="00DF4E36">
            <w:pPr>
              <w:keepLines/>
              <w:jc w:val="left"/>
              <w:rPr>
                <w:rFonts w:cs="Arial"/>
                <w:sz w:val="16"/>
                <w:szCs w:val="16"/>
                <w:lang w:val="cs-CZ"/>
              </w:rPr>
            </w:pPr>
            <w:r w:rsidRPr="00106E53">
              <w:rPr>
                <w:rFonts w:cs="Arial"/>
                <w:sz w:val="16"/>
                <w:szCs w:val="16"/>
                <w:lang w:val="cs-CZ"/>
              </w:rPr>
              <w:t>Polsko</w:t>
            </w:r>
          </w:p>
        </w:tc>
        <w:tc>
          <w:tcPr>
            <w:tcW w:w="138" w:type="pct"/>
            <w:shd w:val="clear" w:color="auto" w:fill="DAEEF3" w:themeFill="accent5" w:themeFillTint="33"/>
          </w:tcPr>
          <w:p w14:paraId="7904D83C"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sym w:font="Wingdings" w:char="F0FC"/>
            </w:r>
          </w:p>
        </w:tc>
        <w:tc>
          <w:tcPr>
            <w:tcW w:w="138" w:type="pct"/>
            <w:shd w:val="clear" w:color="auto" w:fill="DAEEF3" w:themeFill="accent5" w:themeFillTint="33"/>
          </w:tcPr>
          <w:p w14:paraId="49E86EF5"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sym w:font="Wingdings" w:char="F0FC"/>
            </w:r>
          </w:p>
        </w:tc>
        <w:tc>
          <w:tcPr>
            <w:tcW w:w="689" w:type="pct"/>
            <w:shd w:val="clear" w:color="auto" w:fill="DAEEF3" w:themeFill="accent5" w:themeFillTint="33"/>
          </w:tcPr>
          <w:p w14:paraId="74F57BE7"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T-Mobile (22,54%)</w:t>
            </w:r>
          </w:p>
          <w:p w14:paraId="089F3107"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Orange (27,12%)</w:t>
            </w:r>
          </w:p>
          <w:p w14:paraId="5E28806E"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p>
          <w:p w14:paraId="52D3E037"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p>
          <w:p w14:paraId="254D792C"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p>
        </w:tc>
        <w:tc>
          <w:tcPr>
            <w:tcW w:w="552" w:type="pct"/>
            <w:shd w:val="clear" w:color="auto" w:fill="DAEEF3" w:themeFill="accent5" w:themeFillTint="33"/>
          </w:tcPr>
          <w:p w14:paraId="282E42A3"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 xml:space="preserve">RAN </w:t>
            </w:r>
            <w:proofErr w:type="spellStart"/>
            <w:r w:rsidRPr="00475828">
              <w:rPr>
                <w:rFonts w:cs="Arial"/>
                <w:sz w:val="16"/>
                <w:szCs w:val="16"/>
                <w:lang w:val="cs-CZ"/>
              </w:rPr>
              <w:t>sharing</w:t>
            </w:r>
            <w:proofErr w:type="spellEnd"/>
          </w:p>
          <w:p w14:paraId="11BF1CCB"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(joint-venture)</w:t>
            </w:r>
          </w:p>
        </w:tc>
        <w:tc>
          <w:tcPr>
            <w:tcW w:w="460" w:type="pct"/>
            <w:shd w:val="clear" w:color="auto" w:fill="DAEEF3" w:themeFill="accent5" w:themeFillTint="33"/>
          </w:tcPr>
          <w:p w14:paraId="6BC04659"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2G, 3G: 2011 – 2026</w:t>
            </w:r>
            <w:r w:rsidRPr="00475828">
              <w:rPr>
                <w:rStyle w:val="Znakapoznpodarou"/>
                <w:rFonts w:cs="Arial"/>
                <w:sz w:val="16"/>
                <w:szCs w:val="16"/>
                <w:lang w:val="cs-CZ"/>
              </w:rPr>
              <w:footnoteReference w:id="38"/>
            </w:r>
          </w:p>
          <w:p w14:paraId="4A57C3C9"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p>
          <w:p w14:paraId="23FECED0"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4G: 2013 – 2026</w:t>
            </w:r>
            <w:r w:rsidRPr="00475828">
              <w:rPr>
                <w:rStyle w:val="Znakapoznpodarou"/>
                <w:rFonts w:cs="Arial"/>
                <w:sz w:val="16"/>
                <w:szCs w:val="16"/>
                <w:lang w:val="cs-CZ"/>
              </w:rPr>
              <w:footnoteReference w:id="39"/>
            </w:r>
          </w:p>
        </w:tc>
        <w:tc>
          <w:tcPr>
            <w:tcW w:w="550" w:type="pct"/>
            <w:shd w:val="clear" w:color="auto" w:fill="DAEEF3" w:themeFill="accent5" w:themeFillTint="33"/>
          </w:tcPr>
          <w:p w14:paraId="0150BE69" w14:textId="1F368A02"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Sdíleno 10.000 základnových stanic</w:t>
            </w:r>
          </w:p>
          <w:p w14:paraId="11A56224"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p>
          <w:p w14:paraId="10B2C810"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Společné síťové prvky jsou vlastněny jednotlivými operátory, ale spravovány novou JV společností</w:t>
            </w:r>
            <w:r w:rsidR="00106E53">
              <w:rPr>
                <w:rFonts w:cs="Arial"/>
                <w:sz w:val="16"/>
                <w:szCs w:val="16"/>
                <w:lang w:val="cs-CZ"/>
              </w:rPr>
              <w:t>.</w:t>
            </w:r>
          </w:p>
        </w:tc>
        <w:tc>
          <w:tcPr>
            <w:tcW w:w="2116" w:type="pct"/>
            <w:shd w:val="clear" w:color="auto" w:fill="DAEEF3" w:themeFill="accent5" w:themeFillTint="33"/>
          </w:tcPr>
          <w:p w14:paraId="35B1C9A5"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 xml:space="preserve">Schváleno </w:t>
            </w:r>
            <w:r w:rsidR="00106E53" w:rsidRPr="00475828">
              <w:rPr>
                <w:rFonts w:cs="Arial"/>
                <w:sz w:val="16"/>
                <w:szCs w:val="16"/>
                <w:lang w:val="cs-CZ"/>
              </w:rPr>
              <w:t xml:space="preserve">ze strany </w:t>
            </w:r>
            <w:r w:rsidR="00106E53">
              <w:rPr>
                <w:rFonts w:cs="Arial"/>
                <w:sz w:val="16"/>
                <w:szCs w:val="16"/>
                <w:lang w:val="cs-CZ"/>
              </w:rPr>
              <w:t>NCA</w:t>
            </w:r>
            <w:r w:rsidR="00106E53" w:rsidRPr="00475828">
              <w:rPr>
                <w:rFonts w:cs="Arial"/>
                <w:sz w:val="16"/>
                <w:szCs w:val="16"/>
                <w:lang w:val="cs-CZ"/>
              </w:rPr>
              <w:t xml:space="preserve"> </w:t>
            </w:r>
            <w:r w:rsidRPr="00475828">
              <w:rPr>
                <w:rFonts w:cs="Arial"/>
                <w:sz w:val="16"/>
                <w:szCs w:val="16"/>
                <w:lang w:val="cs-CZ"/>
              </w:rPr>
              <w:t>v září 2011 po uzavření dohody v červenci 2011</w:t>
            </w:r>
            <w:r w:rsidR="00106E53">
              <w:rPr>
                <w:rFonts w:cs="Arial"/>
                <w:sz w:val="16"/>
                <w:szCs w:val="16"/>
                <w:lang w:val="cs-CZ"/>
              </w:rPr>
              <w:t>.</w:t>
            </w:r>
            <w:r w:rsidRPr="00475828">
              <w:rPr>
                <w:rFonts w:cs="Arial"/>
                <w:sz w:val="16"/>
                <w:szCs w:val="16"/>
                <w:lang w:val="cs-CZ"/>
              </w:rPr>
              <w:t xml:space="preserve"> </w:t>
            </w:r>
          </w:p>
        </w:tc>
      </w:tr>
      <w:tr w:rsidR="005D6008" w:rsidRPr="00843D00" w14:paraId="75D4DEFE" w14:textId="77777777" w:rsidTr="00DF7720">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357" w:type="pct"/>
          </w:tcPr>
          <w:p w14:paraId="69FA10BF" w14:textId="77777777" w:rsidR="00351B10" w:rsidRPr="00106E53" w:rsidRDefault="00351B10" w:rsidP="00DF4E36">
            <w:pPr>
              <w:keepLines/>
              <w:jc w:val="left"/>
              <w:rPr>
                <w:rFonts w:cs="Arial"/>
                <w:sz w:val="16"/>
                <w:szCs w:val="16"/>
                <w:lang w:val="cs-CZ"/>
              </w:rPr>
            </w:pPr>
            <w:r w:rsidRPr="00106E53">
              <w:rPr>
                <w:rFonts w:cs="Arial"/>
                <w:sz w:val="16"/>
                <w:szCs w:val="16"/>
                <w:lang w:val="cs-CZ"/>
              </w:rPr>
              <w:t>Rakousko</w:t>
            </w:r>
          </w:p>
        </w:tc>
        <w:tc>
          <w:tcPr>
            <w:tcW w:w="138" w:type="pct"/>
          </w:tcPr>
          <w:p w14:paraId="396150B8"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sym w:font="Wingdings" w:char="F0FC"/>
            </w:r>
          </w:p>
        </w:tc>
        <w:tc>
          <w:tcPr>
            <w:tcW w:w="138" w:type="pct"/>
          </w:tcPr>
          <w:p w14:paraId="65628646"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p>
        </w:tc>
        <w:tc>
          <w:tcPr>
            <w:tcW w:w="689" w:type="pct"/>
          </w:tcPr>
          <w:p w14:paraId="0FC606B2"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t>T-Mobile (31 %)</w:t>
            </w:r>
          </w:p>
          <w:p w14:paraId="3AFB9748"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t>3 (</w:t>
            </w:r>
            <w:proofErr w:type="spellStart"/>
            <w:proofErr w:type="gramStart"/>
            <w:r w:rsidRPr="00475828">
              <w:rPr>
                <w:rFonts w:cs="Arial"/>
                <w:sz w:val="16"/>
                <w:szCs w:val="16"/>
                <w:lang w:val="cs-CZ"/>
              </w:rPr>
              <w:t>Hutchinson</w:t>
            </w:r>
            <w:proofErr w:type="spellEnd"/>
            <w:r w:rsidRPr="00475828">
              <w:rPr>
                <w:rFonts w:cs="Arial"/>
                <w:sz w:val="16"/>
                <w:szCs w:val="16"/>
                <w:lang w:val="cs-CZ"/>
              </w:rPr>
              <w:t>) (26</w:t>
            </w:r>
            <w:proofErr w:type="gramEnd"/>
            <w:r w:rsidRPr="00475828">
              <w:rPr>
                <w:rFonts w:cs="Arial"/>
                <w:sz w:val="16"/>
                <w:szCs w:val="16"/>
                <w:lang w:val="cs-CZ"/>
              </w:rPr>
              <w:t xml:space="preserve"> %)</w:t>
            </w:r>
            <w:r w:rsidRPr="00475828">
              <w:rPr>
                <w:rStyle w:val="Znakapoznpodarou"/>
                <w:rFonts w:cs="Arial"/>
                <w:sz w:val="16"/>
                <w:szCs w:val="16"/>
                <w:lang w:val="cs-CZ"/>
              </w:rPr>
              <w:footnoteReference w:id="40"/>
            </w:r>
          </w:p>
        </w:tc>
        <w:tc>
          <w:tcPr>
            <w:tcW w:w="552" w:type="pct"/>
          </w:tcPr>
          <w:p w14:paraId="60E77CF8"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proofErr w:type="spellStart"/>
            <w:r w:rsidRPr="00475828">
              <w:rPr>
                <w:rFonts w:cs="Arial"/>
                <w:sz w:val="16"/>
                <w:szCs w:val="16"/>
                <w:lang w:val="cs-CZ"/>
              </w:rPr>
              <w:t>Infrastructure</w:t>
            </w:r>
            <w:proofErr w:type="spellEnd"/>
            <w:r w:rsidRPr="00475828">
              <w:rPr>
                <w:rFonts w:cs="Arial"/>
                <w:sz w:val="16"/>
                <w:szCs w:val="16"/>
                <w:lang w:val="cs-CZ"/>
              </w:rPr>
              <w:t xml:space="preserve"> </w:t>
            </w:r>
            <w:proofErr w:type="spellStart"/>
            <w:r w:rsidRPr="00475828">
              <w:rPr>
                <w:rFonts w:cs="Arial"/>
                <w:sz w:val="16"/>
                <w:szCs w:val="16"/>
                <w:lang w:val="cs-CZ"/>
              </w:rPr>
              <w:t>sharing</w:t>
            </w:r>
            <w:proofErr w:type="spellEnd"/>
            <w:r w:rsidRPr="00475828">
              <w:rPr>
                <w:rFonts w:cs="Arial"/>
                <w:sz w:val="16"/>
                <w:szCs w:val="16"/>
                <w:lang w:val="cs-CZ"/>
              </w:rPr>
              <w:t xml:space="preserve"> a národní roaming v sítích 2G, 3G</w:t>
            </w:r>
            <w:r w:rsidRPr="00E31EB9">
              <w:rPr>
                <w:sz w:val="16"/>
                <w:vertAlign w:val="superscript"/>
              </w:rPr>
              <w:footnoteReference w:id="41"/>
            </w:r>
            <w:r w:rsidR="00E31EB9" w:rsidRPr="00E31EB9">
              <w:rPr>
                <w:sz w:val="16"/>
                <w:vertAlign w:val="superscript"/>
                <w:lang w:val="cs-CZ"/>
              </w:rPr>
              <w:t>,</w:t>
            </w:r>
            <w:r w:rsidR="005B32A3">
              <w:rPr>
                <w:sz w:val="16"/>
                <w:vertAlign w:val="superscript"/>
                <w:lang w:val="cs-CZ"/>
              </w:rPr>
              <w:t xml:space="preserve"> </w:t>
            </w:r>
            <w:r w:rsidRPr="00E31EB9">
              <w:rPr>
                <w:sz w:val="16"/>
                <w:vertAlign w:val="superscript"/>
              </w:rPr>
              <w:footnoteReference w:id="42"/>
            </w:r>
          </w:p>
        </w:tc>
        <w:tc>
          <w:tcPr>
            <w:tcW w:w="460" w:type="pct"/>
          </w:tcPr>
          <w:p w14:paraId="2BB231CD"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t>Od 2012</w:t>
            </w:r>
          </w:p>
        </w:tc>
        <w:tc>
          <w:tcPr>
            <w:tcW w:w="550" w:type="pct"/>
          </w:tcPr>
          <w:p w14:paraId="6E2D5B0A"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t xml:space="preserve">T-Mobile poskytuje 2G, </w:t>
            </w:r>
            <w:proofErr w:type="spellStart"/>
            <w:r w:rsidRPr="00475828">
              <w:rPr>
                <w:rFonts w:cs="Arial"/>
                <w:sz w:val="16"/>
                <w:szCs w:val="16"/>
                <w:lang w:val="cs-CZ"/>
              </w:rPr>
              <w:t>Hutchinson</w:t>
            </w:r>
            <w:proofErr w:type="spellEnd"/>
            <w:r w:rsidRPr="00475828">
              <w:rPr>
                <w:rFonts w:cs="Arial"/>
                <w:sz w:val="16"/>
                <w:szCs w:val="16"/>
                <w:lang w:val="cs-CZ"/>
              </w:rPr>
              <w:t xml:space="preserve"> 3G v určitých oblastech</w:t>
            </w:r>
            <w:r w:rsidR="00106E53">
              <w:rPr>
                <w:rFonts w:cs="Arial"/>
                <w:sz w:val="16"/>
                <w:szCs w:val="16"/>
                <w:lang w:val="cs-CZ"/>
              </w:rPr>
              <w:t>.</w:t>
            </w:r>
          </w:p>
        </w:tc>
        <w:tc>
          <w:tcPr>
            <w:tcW w:w="2116" w:type="pct"/>
          </w:tcPr>
          <w:p w14:paraId="5D0A791B"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t>Rakouský NRA (</w:t>
            </w:r>
            <w:proofErr w:type="spellStart"/>
            <w:r w:rsidRPr="00475828">
              <w:rPr>
                <w:rFonts w:cs="Arial"/>
                <w:sz w:val="16"/>
                <w:szCs w:val="16"/>
                <w:lang w:val="cs-CZ"/>
              </w:rPr>
              <w:t>Telekon-Control-Komission</w:t>
            </w:r>
            <w:proofErr w:type="spellEnd"/>
            <w:r w:rsidR="00A163E1">
              <w:rPr>
                <w:rFonts w:cs="Arial"/>
                <w:sz w:val="16"/>
                <w:szCs w:val="16"/>
                <w:lang w:val="cs-CZ"/>
              </w:rPr>
              <w:t xml:space="preserve">- </w:t>
            </w:r>
            <w:r w:rsidRPr="00475828">
              <w:rPr>
                <w:rFonts w:cs="Arial"/>
                <w:sz w:val="16"/>
                <w:szCs w:val="16"/>
                <w:lang w:val="cs-CZ"/>
              </w:rPr>
              <w:t>„TKK“) vydal své stanovisko ke sdílení sítí, resp. ke sdílení infrastruktury k poskytování mobilních sítí. V tomto stanovisku se obecně pozitivně vyjadřuje ke sdílení pasivní infrastruktury v limitech práva hosp</w:t>
            </w:r>
            <w:r w:rsidR="00A163E1">
              <w:rPr>
                <w:rFonts w:cs="Arial"/>
                <w:sz w:val="16"/>
                <w:szCs w:val="16"/>
                <w:lang w:val="cs-CZ"/>
              </w:rPr>
              <w:t>odářské</w:t>
            </w:r>
            <w:r w:rsidR="00A163E1" w:rsidRPr="00475828">
              <w:rPr>
                <w:rFonts w:cs="Arial"/>
                <w:sz w:val="16"/>
                <w:szCs w:val="16"/>
                <w:lang w:val="cs-CZ"/>
              </w:rPr>
              <w:t xml:space="preserve"> </w:t>
            </w:r>
            <w:r w:rsidRPr="00475828">
              <w:rPr>
                <w:rFonts w:cs="Arial"/>
                <w:sz w:val="16"/>
                <w:szCs w:val="16"/>
                <w:lang w:val="cs-CZ"/>
              </w:rPr>
              <w:t>soutěže, avšak nevylučuje ani sdílení infrastruktury aktivní. Při posuzování soutěžně-právního dopadu sdílení aktivní infrastruktury považuje TKK za nejdůležitější, aby byly strany sdílení dostatečně samostatné, aby mohly nezávisle na sobě definovat následující parametry: technologie použitá na každém zařízení, kapacita k dispozici, rozsah, rychlost přenosu dat, kvalita služeb.</w:t>
            </w:r>
            <w:r w:rsidRPr="00475828">
              <w:rPr>
                <w:rStyle w:val="Znakapoznpodarou"/>
                <w:rFonts w:cs="Arial"/>
                <w:sz w:val="16"/>
                <w:szCs w:val="16"/>
                <w:lang w:val="cs-CZ"/>
              </w:rPr>
              <w:footnoteReference w:id="43"/>
            </w:r>
            <w:r w:rsidR="00E31EB9" w:rsidRPr="00E31EB9">
              <w:rPr>
                <w:sz w:val="16"/>
                <w:vertAlign w:val="superscript"/>
                <w:lang w:val="cs-CZ"/>
              </w:rPr>
              <w:t>,</w:t>
            </w:r>
            <w:r w:rsidR="005B32A3">
              <w:rPr>
                <w:sz w:val="16"/>
                <w:vertAlign w:val="superscript"/>
                <w:lang w:val="cs-CZ"/>
              </w:rPr>
              <w:t xml:space="preserve"> </w:t>
            </w:r>
            <w:r w:rsidRPr="00475828">
              <w:rPr>
                <w:rStyle w:val="Znakapoznpodarou"/>
                <w:rFonts w:cs="Arial"/>
                <w:sz w:val="16"/>
                <w:szCs w:val="16"/>
                <w:lang w:val="cs-CZ"/>
              </w:rPr>
              <w:footnoteReference w:id="44"/>
            </w:r>
            <w:r w:rsidRPr="00475828">
              <w:rPr>
                <w:rFonts w:cs="Arial"/>
                <w:sz w:val="16"/>
                <w:szCs w:val="16"/>
                <w:lang w:val="cs-CZ"/>
              </w:rPr>
              <w:t xml:space="preserve">  </w:t>
            </w:r>
          </w:p>
        </w:tc>
      </w:tr>
      <w:tr w:rsidR="009470F3" w:rsidRPr="00843D00" w14:paraId="69A1EEFA" w14:textId="77777777" w:rsidTr="00DF7720">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357" w:type="pct"/>
            <w:shd w:val="clear" w:color="auto" w:fill="DAEEF3" w:themeFill="accent5" w:themeFillTint="33"/>
          </w:tcPr>
          <w:p w14:paraId="027B9C7B" w14:textId="77777777" w:rsidR="00351B10" w:rsidRPr="00106E53" w:rsidRDefault="00351B10" w:rsidP="00DF4E36">
            <w:pPr>
              <w:keepLines/>
              <w:jc w:val="left"/>
              <w:rPr>
                <w:rFonts w:cs="Arial"/>
                <w:sz w:val="16"/>
                <w:szCs w:val="16"/>
                <w:lang w:val="cs-CZ"/>
              </w:rPr>
            </w:pPr>
            <w:r w:rsidRPr="00106E53">
              <w:rPr>
                <w:rFonts w:cs="Arial"/>
                <w:sz w:val="16"/>
                <w:szCs w:val="16"/>
                <w:lang w:val="cs-CZ"/>
              </w:rPr>
              <w:t>Španělsko I</w:t>
            </w:r>
          </w:p>
        </w:tc>
        <w:tc>
          <w:tcPr>
            <w:tcW w:w="138" w:type="pct"/>
            <w:shd w:val="clear" w:color="auto" w:fill="DAEEF3" w:themeFill="accent5" w:themeFillTint="33"/>
          </w:tcPr>
          <w:p w14:paraId="5B2EC4DE"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sym w:font="Wingdings" w:char="F0FC"/>
            </w:r>
          </w:p>
        </w:tc>
        <w:tc>
          <w:tcPr>
            <w:tcW w:w="138" w:type="pct"/>
            <w:shd w:val="clear" w:color="auto" w:fill="DAEEF3" w:themeFill="accent5" w:themeFillTint="33"/>
          </w:tcPr>
          <w:p w14:paraId="2C435C9B"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p>
        </w:tc>
        <w:tc>
          <w:tcPr>
            <w:tcW w:w="689" w:type="pct"/>
            <w:shd w:val="clear" w:color="auto" w:fill="DAEEF3" w:themeFill="accent5" w:themeFillTint="33"/>
          </w:tcPr>
          <w:p w14:paraId="2F447CA1" w14:textId="00AD2AAC" w:rsidR="00351B10" w:rsidRPr="00475828" w:rsidRDefault="009E2A0C"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Pr>
                <w:rFonts w:cs="Arial"/>
                <w:sz w:val="16"/>
                <w:szCs w:val="16"/>
                <w:lang w:val="cs-CZ"/>
              </w:rPr>
              <w:t xml:space="preserve">Orange </w:t>
            </w:r>
            <w:r w:rsidR="00351B10" w:rsidRPr="00475828">
              <w:rPr>
                <w:rFonts w:cs="Arial"/>
                <w:sz w:val="16"/>
                <w:szCs w:val="16"/>
                <w:lang w:val="cs-CZ"/>
              </w:rPr>
              <w:t>+ Vodafone</w:t>
            </w:r>
            <w:r w:rsidR="00351B10" w:rsidRPr="00475828">
              <w:rPr>
                <w:rStyle w:val="Znakapoznpodarou"/>
                <w:rFonts w:cs="Arial"/>
                <w:b/>
                <w:sz w:val="16"/>
                <w:szCs w:val="16"/>
                <w:lang w:val="cs-CZ"/>
              </w:rPr>
              <w:footnoteReference w:id="45"/>
            </w:r>
          </w:p>
          <w:p w14:paraId="716DE98D"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Podíly na trhu:</w:t>
            </w:r>
          </w:p>
          <w:p w14:paraId="20A5C7DA"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1. Telefonica (31,9%)</w:t>
            </w:r>
          </w:p>
          <w:p w14:paraId="12F0B2F7"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2. Orange (11,62%)</w:t>
            </w:r>
          </w:p>
          <w:p w14:paraId="370E6D1F"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3. Vodafone (11,5%)</w:t>
            </w:r>
          </w:p>
          <w:p w14:paraId="3F7D0B5D"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 xml:space="preserve">4. </w:t>
            </w:r>
            <w:proofErr w:type="spellStart"/>
            <w:r w:rsidRPr="00475828">
              <w:rPr>
                <w:rFonts w:cs="Arial"/>
                <w:sz w:val="16"/>
                <w:szCs w:val="16"/>
                <w:lang w:val="cs-CZ"/>
              </w:rPr>
              <w:t>Yoigo</w:t>
            </w:r>
            <w:proofErr w:type="spellEnd"/>
            <w:r w:rsidRPr="00475828">
              <w:rPr>
                <w:rFonts w:cs="Arial"/>
                <w:sz w:val="16"/>
                <w:szCs w:val="16"/>
                <w:lang w:val="cs-CZ"/>
              </w:rPr>
              <w:t xml:space="preserve"> (8,7%)</w:t>
            </w:r>
          </w:p>
        </w:tc>
        <w:tc>
          <w:tcPr>
            <w:tcW w:w="552" w:type="pct"/>
            <w:shd w:val="clear" w:color="auto" w:fill="DAEEF3" w:themeFill="accent5" w:themeFillTint="33"/>
          </w:tcPr>
          <w:p w14:paraId="3B29C51A"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 xml:space="preserve">RAN </w:t>
            </w:r>
            <w:proofErr w:type="spellStart"/>
            <w:r w:rsidRPr="00475828">
              <w:rPr>
                <w:rFonts w:cs="Arial"/>
                <w:sz w:val="16"/>
                <w:szCs w:val="16"/>
                <w:lang w:val="cs-CZ"/>
              </w:rPr>
              <w:t>sharing</w:t>
            </w:r>
            <w:proofErr w:type="spellEnd"/>
            <w:r w:rsidR="00A163E1">
              <w:rPr>
                <w:rFonts w:cs="Arial"/>
                <w:sz w:val="16"/>
                <w:szCs w:val="16"/>
                <w:lang w:val="cs-CZ"/>
              </w:rPr>
              <w:t>, 3G</w:t>
            </w:r>
          </w:p>
        </w:tc>
        <w:tc>
          <w:tcPr>
            <w:tcW w:w="460" w:type="pct"/>
            <w:shd w:val="clear" w:color="auto" w:fill="DAEEF3" w:themeFill="accent5" w:themeFillTint="33"/>
          </w:tcPr>
          <w:p w14:paraId="4C7B59E0"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Od 2006</w:t>
            </w:r>
          </w:p>
        </w:tc>
        <w:tc>
          <w:tcPr>
            <w:tcW w:w="550" w:type="pct"/>
            <w:shd w:val="clear" w:color="auto" w:fill="DAEEF3" w:themeFill="accent5" w:themeFillTint="33"/>
          </w:tcPr>
          <w:p w14:paraId="3333C1A4"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 xml:space="preserve">Sdílení 3G infrastruktury (až 5.000 základnových stanic) </w:t>
            </w:r>
            <w:r w:rsidR="00A163E1">
              <w:rPr>
                <w:rFonts w:cs="Arial"/>
                <w:sz w:val="16"/>
                <w:szCs w:val="16"/>
                <w:lang w:val="cs-CZ"/>
              </w:rPr>
              <w:t>v obcích</w:t>
            </w:r>
            <w:r w:rsidRPr="00475828">
              <w:rPr>
                <w:rFonts w:cs="Arial"/>
                <w:sz w:val="16"/>
                <w:szCs w:val="16"/>
                <w:lang w:val="cs-CZ"/>
              </w:rPr>
              <w:t xml:space="preserve"> s méně než 25.000 obyvateli</w:t>
            </w:r>
            <w:r w:rsidR="00106E53">
              <w:rPr>
                <w:rFonts w:cs="Arial"/>
                <w:sz w:val="16"/>
                <w:szCs w:val="16"/>
                <w:lang w:val="cs-CZ"/>
              </w:rPr>
              <w:t>.</w:t>
            </w:r>
          </w:p>
        </w:tc>
        <w:tc>
          <w:tcPr>
            <w:tcW w:w="2116" w:type="pct"/>
            <w:shd w:val="clear" w:color="auto" w:fill="DAEEF3" w:themeFill="accent5" w:themeFillTint="33"/>
          </w:tcPr>
          <w:p w14:paraId="63986D31"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p>
        </w:tc>
      </w:tr>
      <w:tr w:rsidR="005D6008" w:rsidRPr="00843D00" w14:paraId="13B8311A" w14:textId="77777777" w:rsidTr="00DF7720">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357" w:type="pct"/>
          </w:tcPr>
          <w:p w14:paraId="0459E888" w14:textId="77777777" w:rsidR="00351B10" w:rsidRPr="00106E53" w:rsidRDefault="00351B10" w:rsidP="00DF4E36">
            <w:pPr>
              <w:keepLines/>
              <w:jc w:val="left"/>
              <w:rPr>
                <w:rFonts w:cs="Arial"/>
                <w:sz w:val="16"/>
                <w:szCs w:val="16"/>
                <w:lang w:val="cs-CZ"/>
              </w:rPr>
            </w:pPr>
            <w:r w:rsidRPr="00106E53">
              <w:rPr>
                <w:rFonts w:cs="Arial"/>
                <w:sz w:val="16"/>
                <w:szCs w:val="16"/>
                <w:lang w:val="cs-CZ"/>
              </w:rPr>
              <w:t>Španělsko</w:t>
            </w:r>
          </w:p>
          <w:p w14:paraId="083A589D" w14:textId="77777777" w:rsidR="00351B10" w:rsidRPr="00106E53" w:rsidRDefault="00351B10" w:rsidP="00DF4E36">
            <w:pPr>
              <w:keepLines/>
              <w:jc w:val="left"/>
              <w:rPr>
                <w:rFonts w:cs="Arial"/>
                <w:sz w:val="16"/>
                <w:szCs w:val="16"/>
                <w:lang w:val="cs-CZ"/>
              </w:rPr>
            </w:pPr>
            <w:proofErr w:type="spellStart"/>
            <w:proofErr w:type="gramStart"/>
            <w:r w:rsidRPr="00106E53">
              <w:rPr>
                <w:rFonts w:cs="Arial"/>
                <w:sz w:val="16"/>
                <w:szCs w:val="16"/>
                <w:lang w:val="cs-CZ"/>
              </w:rPr>
              <w:t>I.a</w:t>
            </w:r>
            <w:proofErr w:type="spellEnd"/>
            <w:proofErr w:type="gramEnd"/>
          </w:p>
        </w:tc>
        <w:tc>
          <w:tcPr>
            <w:tcW w:w="138" w:type="pct"/>
          </w:tcPr>
          <w:p w14:paraId="41664325"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sym w:font="Wingdings" w:char="F0FC"/>
            </w:r>
          </w:p>
        </w:tc>
        <w:tc>
          <w:tcPr>
            <w:tcW w:w="138" w:type="pct"/>
          </w:tcPr>
          <w:p w14:paraId="0B2AC08E"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p>
        </w:tc>
        <w:tc>
          <w:tcPr>
            <w:tcW w:w="689" w:type="pct"/>
          </w:tcPr>
          <w:p w14:paraId="0229C076"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t>Orange + Vodafone</w:t>
            </w:r>
            <w:r w:rsidRPr="00475828">
              <w:rPr>
                <w:rStyle w:val="Znakapoznpodarou"/>
                <w:rFonts w:cs="Arial"/>
                <w:sz w:val="16"/>
                <w:szCs w:val="16"/>
                <w:lang w:val="cs-CZ"/>
              </w:rPr>
              <w:footnoteReference w:id="46"/>
            </w:r>
          </w:p>
        </w:tc>
        <w:tc>
          <w:tcPr>
            <w:tcW w:w="552" w:type="pct"/>
          </w:tcPr>
          <w:p w14:paraId="16C91D2D"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t>FTT</w:t>
            </w:r>
            <w:r w:rsidR="001C121A">
              <w:rPr>
                <w:rFonts w:cs="Arial"/>
                <w:sz w:val="16"/>
                <w:szCs w:val="16"/>
                <w:lang w:val="cs-CZ"/>
              </w:rPr>
              <w:t>B</w:t>
            </w:r>
          </w:p>
          <w:p w14:paraId="3C710491"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p>
        </w:tc>
        <w:tc>
          <w:tcPr>
            <w:tcW w:w="460" w:type="pct"/>
          </w:tcPr>
          <w:p w14:paraId="56C90884"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t>Od 2013</w:t>
            </w:r>
          </w:p>
          <w:p w14:paraId="7958819F"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p>
          <w:p w14:paraId="5371B083"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t xml:space="preserve">(v roce 2014 dohoda rozšířena, cílem pokrýt co nejvíce </w:t>
            </w:r>
            <w:r w:rsidR="00A163E1">
              <w:rPr>
                <w:rFonts w:cs="Arial"/>
                <w:sz w:val="16"/>
                <w:szCs w:val="16"/>
                <w:lang w:val="cs-CZ"/>
              </w:rPr>
              <w:t>obcí</w:t>
            </w:r>
            <w:r w:rsidRPr="00475828">
              <w:rPr>
                <w:rFonts w:cs="Arial"/>
                <w:sz w:val="16"/>
                <w:szCs w:val="16"/>
                <w:lang w:val="cs-CZ"/>
              </w:rPr>
              <w:t>)</w:t>
            </w:r>
          </w:p>
        </w:tc>
        <w:tc>
          <w:tcPr>
            <w:tcW w:w="550" w:type="pct"/>
          </w:tcPr>
          <w:p w14:paraId="4B8D8641"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t>Vlákna budou vlastněna nezávisle každým z operátorů, přičemž musí zajistit vždy přístup druhému a musí mít stejné technické specifikace</w:t>
            </w:r>
            <w:r w:rsidR="00106E53">
              <w:rPr>
                <w:rFonts w:cs="Arial"/>
                <w:sz w:val="16"/>
                <w:szCs w:val="16"/>
                <w:lang w:val="cs-CZ"/>
              </w:rPr>
              <w:t>.</w:t>
            </w:r>
          </w:p>
        </w:tc>
        <w:tc>
          <w:tcPr>
            <w:tcW w:w="2116" w:type="pct"/>
          </w:tcPr>
          <w:p w14:paraId="0F643E56"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p>
        </w:tc>
      </w:tr>
      <w:tr w:rsidR="009470F3" w:rsidRPr="00475828" w14:paraId="39D95C0B" w14:textId="77777777" w:rsidTr="00DF7720">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357" w:type="pct"/>
            <w:shd w:val="clear" w:color="auto" w:fill="DAEEF3" w:themeFill="accent5" w:themeFillTint="33"/>
          </w:tcPr>
          <w:p w14:paraId="1C406D57" w14:textId="77777777" w:rsidR="00351B10" w:rsidRPr="00106E53" w:rsidRDefault="00351B10" w:rsidP="00DF4E36">
            <w:pPr>
              <w:keepLines/>
              <w:jc w:val="left"/>
              <w:rPr>
                <w:rFonts w:cs="Arial"/>
                <w:sz w:val="16"/>
                <w:szCs w:val="16"/>
                <w:lang w:val="cs-CZ"/>
              </w:rPr>
            </w:pPr>
            <w:r w:rsidRPr="00106E53">
              <w:rPr>
                <w:rFonts w:cs="Arial"/>
                <w:sz w:val="16"/>
                <w:szCs w:val="16"/>
                <w:lang w:val="cs-CZ"/>
              </w:rPr>
              <w:t>Španělsko</w:t>
            </w:r>
          </w:p>
          <w:p w14:paraId="6EAF739A" w14:textId="77777777" w:rsidR="00351B10" w:rsidRPr="00106E53" w:rsidRDefault="00351B10" w:rsidP="00DF4E36">
            <w:pPr>
              <w:keepLines/>
              <w:jc w:val="left"/>
              <w:rPr>
                <w:rFonts w:cs="Arial"/>
                <w:sz w:val="16"/>
                <w:szCs w:val="16"/>
                <w:lang w:val="cs-CZ"/>
              </w:rPr>
            </w:pPr>
            <w:proofErr w:type="spellStart"/>
            <w:proofErr w:type="gramStart"/>
            <w:r w:rsidRPr="00106E53">
              <w:rPr>
                <w:rFonts w:cs="Arial"/>
                <w:sz w:val="16"/>
                <w:szCs w:val="16"/>
                <w:lang w:val="cs-CZ"/>
              </w:rPr>
              <w:t>I.b</w:t>
            </w:r>
            <w:proofErr w:type="spellEnd"/>
            <w:proofErr w:type="gramEnd"/>
          </w:p>
        </w:tc>
        <w:tc>
          <w:tcPr>
            <w:tcW w:w="138" w:type="pct"/>
            <w:shd w:val="clear" w:color="auto" w:fill="DAEEF3" w:themeFill="accent5" w:themeFillTint="33"/>
          </w:tcPr>
          <w:p w14:paraId="5BF2C258"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sym w:font="Wingdings" w:char="F0FC"/>
            </w:r>
          </w:p>
        </w:tc>
        <w:tc>
          <w:tcPr>
            <w:tcW w:w="138" w:type="pct"/>
            <w:shd w:val="clear" w:color="auto" w:fill="DAEEF3" w:themeFill="accent5" w:themeFillTint="33"/>
          </w:tcPr>
          <w:p w14:paraId="0B169D49"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p>
        </w:tc>
        <w:tc>
          <w:tcPr>
            <w:tcW w:w="689" w:type="pct"/>
            <w:shd w:val="clear" w:color="auto" w:fill="DAEEF3" w:themeFill="accent5" w:themeFillTint="33"/>
          </w:tcPr>
          <w:p w14:paraId="7D9CC1E6"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Orange + Vodafone</w:t>
            </w:r>
            <w:r w:rsidRPr="00475828">
              <w:rPr>
                <w:rStyle w:val="Znakapoznpodarou"/>
                <w:rFonts w:cs="Arial"/>
                <w:sz w:val="16"/>
                <w:szCs w:val="16"/>
                <w:lang w:val="cs-CZ"/>
              </w:rPr>
              <w:footnoteReference w:id="47"/>
            </w:r>
          </w:p>
          <w:p w14:paraId="01C7803B"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p>
        </w:tc>
        <w:tc>
          <w:tcPr>
            <w:tcW w:w="552" w:type="pct"/>
            <w:shd w:val="clear" w:color="auto" w:fill="DAEEF3" w:themeFill="accent5" w:themeFillTint="33"/>
          </w:tcPr>
          <w:p w14:paraId="5D8F0BA8"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 xml:space="preserve">RAN </w:t>
            </w:r>
            <w:proofErr w:type="spellStart"/>
            <w:r w:rsidRPr="00475828">
              <w:rPr>
                <w:rFonts w:cs="Arial"/>
                <w:sz w:val="16"/>
                <w:szCs w:val="16"/>
                <w:lang w:val="cs-CZ"/>
              </w:rPr>
              <w:t>Sharing</w:t>
            </w:r>
            <w:proofErr w:type="spellEnd"/>
          </w:p>
        </w:tc>
        <w:tc>
          <w:tcPr>
            <w:tcW w:w="460" w:type="pct"/>
            <w:shd w:val="clear" w:color="auto" w:fill="DAEEF3" w:themeFill="accent5" w:themeFillTint="33"/>
          </w:tcPr>
          <w:p w14:paraId="53BF1D06"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Od 2014</w:t>
            </w:r>
          </w:p>
        </w:tc>
        <w:tc>
          <w:tcPr>
            <w:tcW w:w="550" w:type="pct"/>
            <w:shd w:val="clear" w:color="auto" w:fill="DAEEF3" w:themeFill="accent5" w:themeFillTint="33"/>
          </w:tcPr>
          <w:p w14:paraId="65C95CB9"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Sdíleno 1000 základnových stanic v rurálních oblastech</w:t>
            </w:r>
          </w:p>
        </w:tc>
        <w:tc>
          <w:tcPr>
            <w:tcW w:w="2116" w:type="pct"/>
            <w:shd w:val="clear" w:color="auto" w:fill="DAEEF3" w:themeFill="accent5" w:themeFillTint="33"/>
          </w:tcPr>
          <w:p w14:paraId="78F71479"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p>
        </w:tc>
      </w:tr>
      <w:tr w:rsidR="005D6008" w:rsidRPr="00843D00" w14:paraId="5DBD9E6D" w14:textId="77777777" w:rsidTr="00DF7720">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357" w:type="pct"/>
          </w:tcPr>
          <w:p w14:paraId="62ACF606" w14:textId="77777777" w:rsidR="00351B10" w:rsidRPr="00106E53" w:rsidRDefault="00351B10" w:rsidP="00DF4E36">
            <w:pPr>
              <w:keepLines/>
              <w:jc w:val="left"/>
              <w:rPr>
                <w:rFonts w:cs="Arial"/>
                <w:sz w:val="16"/>
                <w:szCs w:val="16"/>
                <w:lang w:val="cs-CZ"/>
              </w:rPr>
            </w:pPr>
            <w:r w:rsidRPr="00106E53">
              <w:rPr>
                <w:rFonts w:cs="Arial"/>
                <w:sz w:val="16"/>
                <w:szCs w:val="16"/>
                <w:lang w:val="cs-CZ"/>
              </w:rPr>
              <w:t>Španělsko</w:t>
            </w:r>
          </w:p>
          <w:p w14:paraId="206730D4" w14:textId="77777777" w:rsidR="00351B10" w:rsidRPr="00106E53" w:rsidRDefault="00351B10" w:rsidP="00DF4E36">
            <w:pPr>
              <w:keepLines/>
              <w:jc w:val="left"/>
              <w:rPr>
                <w:rFonts w:cs="Arial"/>
                <w:sz w:val="16"/>
                <w:szCs w:val="16"/>
                <w:lang w:val="cs-CZ"/>
              </w:rPr>
            </w:pPr>
            <w:r w:rsidRPr="00106E53">
              <w:rPr>
                <w:rFonts w:cs="Arial"/>
                <w:sz w:val="16"/>
                <w:szCs w:val="16"/>
                <w:lang w:val="cs-CZ"/>
              </w:rPr>
              <w:t>II</w:t>
            </w:r>
          </w:p>
          <w:p w14:paraId="31C8F707" w14:textId="77777777" w:rsidR="00351B10" w:rsidRPr="00106E53" w:rsidRDefault="00351B10" w:rsidP="00DF4E36">
            <w:pPr>
              <w:keepLines/>
              <w:jc w:val="left"/>
              <w:rPr>
                <w:rFonts w:cs="Arial"/>
                <w:sz w:val="16"/>
                <w:szCs w:val="16"/>
                <w:lang w:val="cs-CZ"/>
              </w:rPr>
            </w:pPr>
          </w:p>
        </w:tc>
        <w:tc>
          <w:tcPr>
            <w:tcW w:w="138" w:type="pct"/>
          </w:tcPr>
          <w:p w14:paraId="05B9A25C"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sym w:font="Wingdings" w:char="F0FC"/>
            </w:r>
          </w:p>
        </w:tc>
        <w:tc>
          <w:tcPr>
            <w:tcW w:w="138" w:type="pct"/>
          </w:tcPr>
          <w:p w14:paraId="3D965C98"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p>
        </w:tc>
        <w:tc>
          <w:tcPr>
            <w:tcW w:w="689" w:type="pct"/>
            <w:vAlign w:val="center"/>
          </w:tcPr>
          <w:p w14:paraId="4C6AFD66"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t xml:space="preserve">Orange + </w:t>
            </w:r>
            <w:proofErr w:type="spellStart"/>
            <w:r w:rsidRPr="00475828">
              <w:rPr>
                <w:rFonts w:cs="Arial"/>
                <w:sz w:val="16"/>
                <w:szCs w:val="16"/>
                <w:lang w:val="cs-CZ"/>
              </w:rPr>
              <w:t>Yoigo</w:t>
            </w:r>
            <w:proofErr w:type="spellEnd"/>
            <w:r w:rsidRPr="00475828">
              <w:rPr>
                <w:rStyle w:val="Znakapoznpodarou"/>
                <w:rFonts w:cs="Arial"/>
                <w:sz w:val="16"/>
                <w:szCs w:val="16"/>
                <w:lang w:val="cs-CZ"/>
              </w:rPr>
              <w:footnoteReference w:id="48"/>
            </w:r>
          </w:p>
        </w:tc>
        <w:tc>
          <w:tcPr>
            <w:tcW w:w="552" w:type="pct"/>
          </w:tcPr>
          <w:p w14:paraId="3F880527"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proofErr w:type="spellStart"/>
            <w:r w:rsidRPr="00475828">
              <w:rPr>
                <w:rFonts w:cs="Arial"/>
                <w:sz w:val="16"/>
                <w:szCs w:val="16"/>
                <w:lang w:val="cs-CZ"/>
              </w:rPr>
              <w:t>Site</w:t>
            </w:r>
            <w:proofErr w:type="spellEnd"/>
            <w:r w:rsidRPr="00475828">
              <w:rPr>
                <w:rFonts w:cs="Arial"/>
                <w:sz w:val="16"/>
                <w:szCs w:val="16"/>
                <w:lang w:val="cs-CZ"/>
              </w:rPr>
              <w:t xml:space="preserve"> </w:t>
            </w:r>
            <w:proofErr w:type="spellStart"/>
            <w:r w:rsidRPr="00475828">
              <w:rPr>
                <w:rFonts w:cs="Arial"/>
                <w:sz w:val="16"/>
                <w:szCs w:val="16"/>
                <w:lang w:val="cs-CZ"/>
              </w:rPr>
              <w:t>sharing</w:t>
            </w:r>
            <w:proofErr w:type="spellEnd"/>
          </w:p>
        </w:tc>
        <w:tc>
          <w:tcPr>
            <w:tcW w:w="460" w:type="pct"/>
          </w:tcPr>
          <w:p w14:paraId="603A6D80"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t>2008 – (2013)?</w:t>
            </w:r>
          </w:p>
          <w:p w14:paraId="3C87BA84" w14:textId="10D637CD"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t>Z dostupných zdrojů není jasné, zda už bylo sdílení ukončen</w:t>
            </w:r>
            <w:r w:rsidR="004B6F3E">
              <w:rPr>
                <w:rFonts w:cs="Arial"/>
                <w:sz w:val="16"/>
                <w:szCs w:val="16"/>
                <w:lang w:val="cs-CZ"/>
              </w:rPr>
              <w:t>o</w:t>
            </w:r>
            <w:r w:rsidR="001365D1">
              <w:rPr>
                <w:rFonts w:cs="Arial"/>
                <w:sz w:val="16"/>
                <w:szCs w:val="16"/>
                <w:lang w:val="cs-CZ"/>
              </w:rPr>
              <w:t>.</w:t>
            </w:r>
          </w:p>
        </w:tc>
        <w:tc>
          <w:tcPr>
            <w:tcW w:w="550" w:type="pct"/>
          </w:tcPr>
          <w:p w14:paraId="3E0B2CD3"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p>
        </w:tc>
        <w:tc>
          <w:tcPr>
            <w:tcW w:w="2116" w:type="pct"/>
          </w:tcPr>
          <w:p w14:paraId="4DC37072"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p>
        </w:tc>
      </w:tr>
      <w:tr w:rsidR="009470F3" w:rsidRPr="00475828" w14:paraId="23F77C6E" w14:textId="77777777" w:rsidTr="00DF7720">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357" w:type="pct"/>
            <w:shd w:val="clear" w:color="auto" w:fill="DAEEF3" w:themeFill="accent5" w:themeFillTint="33"/>
          </w:tcPr>
          <w:p w14:paraId="4E73B3B5" w14:textId="77777777" w:rsidR="00351B10" w:rsidRPr="00106E53" w:rsidRDefault="00351B10" w:rsidP="00DF4E36">
            <w:pPr>
              <w:keepLines/>
              <w:jc w:val="left"/>
              <w:rPr>
                <w:rFonts w:cs="Arial"/>
                <w:sz w:val="16"/>
                <w:szCs w:val="16"/>
                <w:lang w:val="cs-CZ"/>
              </w:rPr>
            </w:pPr>
            <w:r w:rsidRPr="00106E53">
              <w:rPr>
                <w:rFonts w:cs="Arial"/>
                <w:sz w:val="16"/>
                <w:szCs w:val="16"/>
                <w:lang w:val="cs-CZ"/>
              </w:rPr>
              <w:t>Španělsko</w:t>
            </w:r>
          </w:p>
          <w:p w14:paraId="47C2071D" w14:textId="77777777" w:rsidR="00351B10" w:rsidRPr="00106E53" w:rsidRDefault="00351B10" w:rsidP="00DF4E36">
            <w:pPr>
              <w:keepLines/>
              <w:jc w:val="left"/>
              <w:rPr>
                <w:rFonts w:cs="Arial"/>
                <w:sz w:val="16"/>
                <w:szCs w:val="16"/>
                <w:lang w:val="cs-CZ"/>
              </w:rPr>
            </w:pPr>
            <w:r w:rsidRPr="00106E53">
              <w:rPr>
                <w:rFonts w:cs="Arial"/>
                <w:sz w:val="16"/>
                <w:szCs w:val="16"/>
                <w:lang w:val="cs-CZ"/>
              </w:rPr>
              <w:t>III</w:t>
            </w:r>
          </w:p>
        </w:tc>
        <w:tc>
          <w:tcPr>
            <w:tcW w:w="138" w:type="pct"/>
            <w:shd w:val="clear" w:color="auto" w:fill="DAEEF3" w:themeFill="accent5" w:themeFillTint="33"/>
          </w:tcPr>
          <w:p w14:paraId="7997ADA3"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sym w:font="Wingdings" w:char="F0FC"/>
            </w:r>
          </w:p>
        </w:tc>
        <w:tc>
          <w:tcPr>
            <w:tcW w:w="138" w:type="pct"/>
            <w:shd w:val="clear" w:color="auto" w:fill="DAEEF3" w:themeFill="accent5" w:themeFillTint="33"/>
          </w:tcPr>
          <w:p w14:paraId="4AED38B4"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p>
        </w:tc>
        <w:tc>
          <w:tcPr>
            <w:tcW w:w="689" w:type="pct"/>
            <w:shd w:val="clear" w:color="auto" w:fill="DAEEF3" w:themeFill="accent5" w:themeFillTint="33"/>
            <w:vAlign w:val="center"/>
          </w:tcPr>
          <w:p w14:paraId="09A54037"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Telefonica + Vodafone</w:t>
            </w:r>
            <w:r w:rsidRPr="00475828">
              <w:rPr>
                <w:rStyle w:val="Znakapoznpodarou"/>
                <w:rFonts w:cs="Arial"/>
                <w:sz w:val="16"/>
                <w:szCs w:val="16"/>
                <w:lang w:val="cs-CZ"/>
              </w:rPr>
              <w:footnoteReference w:id="49"/>
            </w:r>
          </w:p>
        </w:tc>
        <w:tc>
          <w:tcPr>
            <w:tcW w:w="552" w:type="pct"/>
            <w:shd w:val="clear" w:color="auto" w:fill="DAEEF3" w:themeFill="accent5" w:themeFillTint="33"/>
          </w:tcPr>
          <w:p w14:paraId="239D23E5"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proofErr w:type="spellStart"/>
            <w:r w:rsidRPr="00475828">
              <w:rPr>
                <w:rFonts w:cs="Arial"/>
                <w:sz w:val="16"/>
                <w:szCs w:val="16"/>
                <w:lang w:val="cs-CZ"/>
              </w:rPr>
              <w:t>Site</w:t>
            </w:r>
            <w:proofErr w:type="spellEnd"/>
            <w:r w:rsidRPr="00475828">
              <w:rPr>
                <w:rFonts w:cs="Arial"/>
                <w:sz w:val="16"/>
                <w:szCs w:val="16"/>
                <w:lang w:val="cs-CZ"/>
              </w:rPr>
              <w:t xml:space="preserve"> </w:t>
            </w:r>
            <w:proofErr w:type="spellStart"/>
            <w:r w:rsidRPr="00475828">
              <w:rPr>
                <w:rFonts w:cs="Arial"/>
                <w:sz w:val="16"/>
                <w:szCs w:val="16"/>
                <w:lang w:val="cs-CZ"/>
              </w:rPr>
              <w:t>sharing</w:t>
            </w:r>
            <w:proofErr w:type="spellEnd"/>
          </w:p>
        </w:tc>
        <w:tc>
          <w:tcPr>
            <w:tcW w:w="460" w:type="pct"/>
            <w:shd w:val="clear" w:color="auto" w:fill="DAEEF3" w:themeFill="accent5" w:themeFillTint="33"/>
          </w:tcPr>
          <w:p w14:paraId="5E76DE95" w14:textId="77777777" w:rsidR="00351B10" w:rsidRPr="00475828" w:rsidRDefault="00A163E1"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Pr>
                <w:rFonts w:cs="Arial"/>
                <w:sz w:val="16"/>
                <w:szCs w:val="16"/>
                <w:lang w:val="cs-CZ"/>
              </w:rPr>
              <w:t xml:space="preserve">Od </w:t>
            </w:r>
            <w:r w:rsidR="00351B10" w:rsidRPr="00475828">
              <w:rPr>
                <w:rFonts w:cs="Arial"/>
                <w:sz w:val="16"/>
                <w:szCs w:val="16"/>
                <w:lang w:val="cs-CZ"/>
              </w:rPr>
              <w:t>2009</w:t>
            </w:r>
          </w:p>
        </w:tc>
        <w:tc>
          <w:tcPr>
            <w:tcW w:w="550" w:type="pct"/>
            <w:shd w:val="clear" w:color="auto" w:fill="DAEEF3" w:themeFill="accent5" w:themeFillTint="33"/>
          </w:tcPr>
          <w:p w14:paraId="1145E488"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Pasivní infrastruktura</w:t>
            </w:r>
          </w:p>
        </w:tc>
        <w:tc>
          <w:tcPr>
            <w:tcW w:w="2116" w:type="pct"/>
            <w:shd w:val="clear" w:color="auto" w:fill="DAEEF3" w:themeFill="accent5" w:themeFillTint="33"/>
          </w:tcPr>
          <w:p w14:paraId="415CE62F"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Schváleno</w:t>
            </w:r>
          </w:p>
        </w:tc>
      </w:tr>
      <w:tr w:rsidR="005D6008" w:rsidRPr="0016725C" w14:paraId="57004365" w14:textId="77777777" w:rsidTr="00DF7720">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357" w:type="pct"/>
          </w:tcPr>
          <w:p w14:paraId="686D5C41" w14:textId="77777777" w:rsidR="00351B10" w:rsidRPr="00106E53" w:rsidRDefault="00351B10" w:rsidP="00DF4E36">
            <w:pPr>
              <w:keepLines/>
              <w:jc w:val="left"/>
              <w:rPr>
                <w:rFonts w:cs="Arial"/>
                <w:sz w:val="16"/>
                <w:szCs w:val="16"/>
                <w:lang w:val="cs-CZ"/>
              </w:rPr>
            </w:pPr>
            <w:r w:rsidRPr="00106E53">
              <w:rPr>
                <w:rFonts w:cs="Arial"/>
                <w:sz w:val="16"/>
                <w:szCs w:val="16"/>
                <w:lang w:val="cs-CZ"/>
              </w:rPr>
              <w:t>Španělsko</w:t>
            </w:r>
          </w:p>
          <w:p w14:paraId="467910B7" w14:textId="77777777" w:rsidR="00351B10" w:rsidRPr="00106E53" w:rsidRDefault="00351B10" w:rsidP="00DF4E36">
            <w:pPr>
              <w:keepLines/>
              <w:jc w:val="left"/>
              <w:rPr>
                <w:rFonts w:cs="Arial"/>
                <w:sz w:val="16"/>
                <w:szCs w:val="16"/>
                <w:lang w:val="cs-CZ"/>
              </w:rPr>
            </w:pPr>
            <w:r w:rsidRPr="00106E53">
              <w:rPr>
                <w:rFonts w:cs="Arial"/>
                <w:sz w:val="16"/>
                <w:szCs w:val="16"/>
                <w:lang w:val="cs-CZ"/>
              </w:rPr>
              <w:t>IV</w:t>
            </w:r>
          </w:p>
        </w:tc>
        <w:tc>
          <w:tcPr>
            <w:tcW w:w="138" w:type="pct"/>
          </w:tcPr>
          <w:p w14:paraId="2D8313EC"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sym w:font="Wingdings" w:char="F0FC"/>
            </w:r>
          </w:p>
        </w:tc>
        <w:tc>
          <w:tcPr>
            <w:tcW w:w="138" w:type="pct"/>
          </w:tcPr>
          <w:p w14:paraId="18A01D9A"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sym w:font="Wingdings" w:char="F0FC"/>
            </w:r>
          </w:p>
        </w:tc>
        <w:tc>
          <w:tcPr>
            <w:tcW w:w="689" w:type="pct"/>
          </w:tcPr>
          <w:p w14:paraId="519C60C1"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t xml:space="preserve">Telefonica + </w:t>
            </w:r>
            <w:proofErr w:type="spellStart"/>
            <w:r w:rsidRPr="00475828">
              <w:rPr>
                <w:rFonts w:cs="Arial"/>
                <w:sz w:val="16"/>
                <w:szCs w:val="16"/>
                <w:lang w:val="cs-CZ"/>
              </w:rPr>
              <w:t>Yoigo</w:t>
            </w:r>
            <w:proofErr w:type="spellEnd"/>
          </w:p>
        </w:tc>
        <w:tc>
          <w:tcPr>
            <w:tcW w:w="552" w:type="pct"/>
          </w:tcPr>
          <w:p w14:paraId="7738B4B6"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proofErr w:type="spellStart"/>
            <w:r w:rsidRPr="00475828">
              <w:rPr>
                <w:rFonts w:cs="Arial"/>
                <w:sz w:val="16"/>
                <w:szCs w:val="16"/>
                <w:lang w:val="cs-CZ"/>
              </w:rPr>
              <w:t>National</w:t>
            </w:r>
            <w:proofErr w:type="spellEnd"/>
            <w:r w:rsidRPr="00475828">
              <w:rPr>
                <w:rFonts w:cs="Arial"/>
                <w:sz w:val="16"/>
                <w:szCs w:val="16"/>
                <w:lang w:val="cs-CZ"/>
              </w:rPr>
              <w:t xml:space="preserve"> roaming</w:t>
            </w:r>
          </w:p>
          <w:p w14:paraId="557999D6"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p>
        </w:tc>
        <w:tc>
          <w:tcPr>
            <w:tcW w:w="460" w:type="pct"/>
            <w:vAlign w:val="center"/>
          </w:tcPr>
          <w:p w14:paraId="350F79FD"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t>2G a 3G</w:t>
            </w:r>
            <w:r w:rsidRPr="00475828">
              <w:rPr>
                <w:rStyle w:val="Znakapoznpodarou"/>
                <w:rFonts w:cs="Arial"/>
                <w:sz w:val="16"/>
                <w:szCs w:val="16"/>
                <w:lang w:val="cs-CZ"/>
              </w:rPr>
              <w:footnoteReference w:id="50"/>
            </w:r>
            <w:r w:rsidRPr="00475828">
              <w:rPr>
                <w:rFonts w:cs="Arial"/>
                <w:sz w:val="16"/>
                <w:szCs w:val="16"/>
                <w:lang w:val="cs-CZ"/>
              </w:rPr>
              <w:t>: 2008 – (2016)</w:t>
            </w:r>
          </w:p>
          <w:p w14:paraId="2DC7B12F"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p>
          <w:p w14:paraId="60E51C7B"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t>4G</w:t>
            </w:r>
            <w:r w:rsidRPr="00475828">
              <w:rPr>
                <w:rStyle w:val="Znakapoznpodarou"/>
                <w:rFonts w:cs="Arial"/>
                <w:sz w:val="16"/>
                <w:szCs w:val="16"/>
                <w:lang w:val="cs-CZ"/>
              </w:rPr>
              <w:footnoteReference w:id="51"/>
            </w:r>
            <w:r w:rsidR="00106E53">
              <w:rPr>
                <w:rFonts w:cs="Arial"/>
                <w:sz w:val="16"/>
                <w:szCs w:val="16"/>
                <w:lang w:val="cs-CZ"/>
              </w:rPr>
              <w:t>:</w:t>
            </w:r>
            <w:r w:rsidR="00E31EB9">
              <w:rPr>
                <w:rFonts w:cs="Arial"/>
                <w:sz w:val="16"/>
                <w:szCs w:val="16"/>
                <w:lang w:val="cs-CZ"/>
              </w:rPr>
              <w:t>Od 2013</w:t>
            </w:r>
          </w:p>
        </w:tc>
        <w:tc>
          <w:tcPr>
            <w:tcW w:w="550" w:type="pct"/>
            <w:vAlign w:val="center"/>
          </w:tcPr>
          <w:p w14:paraId="508294AB" w14:textId="0527806E"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t xml:space="preserve">2G a 3G síť je vlastněná </w:t>
            </w:r>
            <w:proofErr w:type="spellStart"/>
            <w:r w:rsidRPr="00475828">
              <w:rPr>
                <w:rFonts w:cs="Arial"/>
                <w:sz w:val="16"/>
                <w:szCs w:val="16"/>
                <w:lang w:val="cs-CZ"/>
              </w:rPr>
              <w:t>Telefonicou</w:t>
            </w:r>
            <w:proofErr w:type="spellEnd"/>
            <w:r w:rsidRPr="00475828">
              <w:rPr>
                <w:rFonts w:cs="Arial"/>
                <w:sz w:val="16"/>
                <w:szCs w:val="16"/>
                <w:lang w:val="cs-CZ"/>
              </w:rPr>
              <w:t xml:space="preserve"> a</w:t>
            </w:r>
            <w:r w:rsidR="00247FC2">
              <w:rPr>
                <w:rFonts w:cs="Arial"/>
                <w:sz w:val="16"/>
                <w:szCs w:val="16"/>
                <w:lang w:val="cs-CZ"/>
              </w:rPr>
              <w:t> </w:t>
            </w:r>
            <w:r w:rsidRPr="00475828">
              <w:rPr>
                <w:rFonts w:cs="Arial"/>
                <w:sz w:val="16"/>
                <w:szCs w:val="16"/>
                <w:lang w:val="cs-CZ"/>
              </w:rPr>
              <w:t xml:space="preserve">poskytuje ji </w:t>
            </w:r>
            <w:proofErr w:type="spellStart"/>
            <w:r w:rsidRPr="00475828">
              <w:rPr>
                <w:rFonts w:cs="Arial"/>
                <w:sz w:val="16"/>
                <w:szCs w:val="16"/>
                <w:lang w:val="cs-CZ"/>
              </w:rPr>
              <w:t>Yoigu</w:t>
            </w:r>
            <w:proofErr w:type="spellEnd"/>
            <w:r w:rsidR="001365D1">
              <w:rPr>
                <w:rFonts w:cs="Arial"/>
                <w:sz w:val="16"/>
                <w:szCs w:val="16"/>
                <w:lang w:val="cs-CZ"/>
              </w:rPr>
              <w:t>.</w:t>
            </w:r>
          </w:p>
          <w:p w14:paraId="3C8E32DF"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p>
          <w:p w14:paraId="36426B2E" w14:textId="57769DFA"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t xml:space="preserve">4G síť je </w:t>
            </w:r>
            <w:proofErr w:type="spellStart"/>
            <w:r w:rsidRPr="00475828">
              <w:rPr>
                <w:rFonts w:cs="Arial"/>
                <w:sz w:val="16"/>
                <w:szCs w:val="16"/>
                <w:lang w:val="cs-CZ"/>
              </w:rPr>
              <w:t>Yoiga</w:t>
            </w:r>
            <w:proofErr w:type="spellEnd"/>
            <w:r w:rsidRPr="00475828">
              <w:rPr>
                <w:rFonts w:cs="Arial"/>
                <w:sz w:val="16"/>
                <w:szCs w:val="16"/>
                <w:lang w:val="cs-CZ"/>
              </w:rPr>
              <w:t xml:space="preserve"> a poskytuje ji společnosti Telefonica</w:t>
            </w:r>
            <w:r w:rsidR="001365D1">
              <w:rPr>
                <w:rFonts w:cs="Arial"/>
                <w:sz w:val="16"/>
                <w:szCs w:val="16"/>
                <w:lang w:val="cs-CZ"/>
              </w:rPr>
              <w:t>.</w:t>
            </w:r>
          </w:p>
        </w:tc>
        <w:tc>
          <w:tcPr>
            <w:tcW w:w="2116" w:type="pct"/>
            <w:vAlign w:val="center"/>
          </w:tcPr>
          <w:p w14:paraId="2D169935" w14:textId="7C976B7D"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t xml:space="preserve">Čeká se na vyjádření NRA (ve Španělsku spojený </w:t>
            </w:r>
            <w:proofErr w:type="spellStart"/>
            <w:r w:rsidRPr="00475828">
              <w:rPr>
                <w:rFonts w:cs="Arial"/>
                <w:sz w:val="16"/>
                <w:szCs w:val="16"/>
                <w:lang w:val="cs-CZ"/>
              </w:rPr>
              <w:t>telco</w:t>
            </w:r>
            <w:proofErr w:type="spellEnd"/>
            <w:r w:rsidRPr="00475828">
              <w:rPr>
                <w:rFonts w:cs="Arial"/>
                <w:sz w:val="16"/>
                <w:szCs w:val="16"/>
                <w:lang w:val="cs-CZ"/>
              </w:rPr>
              <w:t xml:space="preserve"> a soutěž. </w:t>
            </w:r>
            <w:proofErr w:type="spellStart"/>
            <w:proofErr w:type="gramStart"/>
            <w:r w:rsidRPr="00475828">
              <w:rPr>
                <w:rFonts w:cs="Arial"/>
                <w:sz w:val="16"/>
                <w:szCs w:val="16"/>
                <w:lang w:val="cs-CZ"/>
              </w:rPr>
              <w:t>reg</w:t>
            </w:r>
            <w:proofErr w:type="spellEnd"/>
            <w:proofErr w:type="gramEnd"/>
            <w:r w:rsidRPr="00475828">
              <w:rPr>
                <w:rFonts w:cs="Arial"/>
                <w:sz w:val="16"/>
                <w:szCs w:val="16"/>
                <w:lang w:val="cs-CZ"/>
              </w:rPr>
              <w:t xml:space="preserve">.) – zpráva z 11/2013 – šetření může trvat až 18 měsíců </w:t>
            </w:r>
            <w:r w:rsidR="00A163E1" w:rsidRPr="00475828">
              <w:rPr>
                <w:rFonts w:cs="Arial"/>
                <w:sz w:val="16"/>
                <w:szCs w:val="16"/>
                <w:lang w:val="cs-CZ"/>
              </w:rPr>
              <w:t>(</w:t>
            </w:r>
            <w:r w:rsidR="00A163E1">
              <w:rPr>
                <w:rFonts w:cs="Arial"/>
                <w:sz w:val="16"/>
                <w:szCs w:val="16"/>
                <w:lang w:val="cs-CZ"/>
              </w:rPr>
              <w:t>výsledek se tudíž očekává v první polovině roku</w:t>
            </w:r>
            <w:r w:rsidR="00A163E1" w:rsidRPr="00475828">
              <w:rPr>
                <w:rFonts w:cs="Arial"/>
                <w:sz w:val="16"/>
                <w:szCs w:val="16"/>
                <w:lang w:val="cs-CZ"/>
              </w:rPr>
              <w:t xml:space="preserve"> 2015)</w:t>
            </w:r>
            <w:r w:rsidR="001365D1">
              <w:rPr>
                <w:rFonts w:cs="Arial"/>
                <w:sz w:val="16"/>
                <w:szCs w:val="16"/>
                <w:lang w:val="cs-CZ"/>
              </w:rPr>
              <w:t>.</w:t>
            </w:r>
          </w:p>
        </w:tc>
      </w:tr>
      <w:tr w:rsidR="009470F3" w:rsidRPr="00843D00" w14:paraId="776F5353" w14:textId="77777777" w:rsidTr="00DF7720">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357" w:type="pct"/>
            <w:shd w:val="clear" w:color="auto" w:fill="DAEEF3" w:themeFill="accent5" w:themeFillTint="33"/>
          </w:tcPr>
          <w:p w14:paraId="40265BEC" w14:textId="77777777" w:rsidR="00351B10" w:rsidRPr="00106E53" w:rsidRDefault="00351B10" w:rsidP="00DF4E36">
            <w:pPr>
              <w:keepLines/>
              <w:jc w:val="left"/>
              <w:rPr>
                <w:rFonts w:cs="Arial"/>
                <w:sz w:val="16"/>
                <w:szCs w:val="16"/>
                <w:lang w:val="cs-CZ"/>
              </w:rPr>
            </w:pPr>
            <w:r w:rsidRPr="00106E53">
              <w:rPr>
                <w:rFonts w:cs="Arial"/>
                <w:sz w:val="16"/>
                <w:szCs w:val="16"/>
                <w:lang w:val="cs-CZ"/>
              </w:rPr>
              <w:t>Švédsko I</w:t>
            </w:r>
          </w:p>
        </w:tc>
        <w:tc>
          <w:tcPr>
            <w:tcW w:w="138" w:type="pct"/>
            <w:shd w:val="clear" w:color="auto" w:fill="DAEEF3" w:themeFill="accent5" w:themeFillTint="33"/>
          </w:tcPr>
          <w:p w14:paraId="1AA14B99"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sym w:font="Wingdings" w:char="F0FC"/>
            </w:r>
          </w:p>
        </w:tc>
        <w:tc>
          <w:tcPr>
            <w:tcW w:w="138" w:type="pct"/>
            <w:shd w:val="clear" w:color="auto" w:fill="DAEEF3" w:themeFill="accent5" w:themeFillTint="33"/>
          </w:tcPr>
          <w:p w14:paraId="38DDDE69"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p>
        </w:tc>
        <w:tc>
          <w:tcPr>
            <w:tcW w:w="689" w:type="pct"/>
            <w:shd w:val="clear" w:color="auto" w:fill="DAEEF3" w:themeFill="accent5" w:themeFillTint="33"/>
          </w:tcPr>
          <w:p w14:paraId="32AA33F8"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proofErr w:type="spellStart"/>
            <w:r w:rsidRPr="00475828">
              <w:rPr>
                <w:rFonts w:cs="Arial"/>
                <w:sz w:val="16"/>
                <w:szCs w:val="16"/>
                <w:lang w:val="cs-CZ"/>
              </w:rPr>
              <w:t>TeliaSonera</w:t>
            </w:r>
            <w:proofErr w:type="spellEnd"/>
            <w:r w:rsidRPr="00475828">
              <w:rPr>
                <w:rFonts w:cs="Arial"/>
                <w:sz w:val="16"/>
                <w:szCs w:val="16"/>
                <w:lang w:val="cs-CZ"/>
              </w:rPr>
              <w:t xml:space="preserve"> (46 %)</w:t>
            </w:r>
          </w:p>
          <w:p w14:paraId="4698720E"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Tele2 (26 %)</w:t>
            </w:r>
            <w:r w:rsidRPr="00475828">
              <w:rPr>
                <w:rStyle w:val="Znakapoznpodarou"/>
                <w:rFonts w:cs="Arial"/>
                <w:sz w:val="16"/>
                <w:szCs w:val="16"/>
                <w:lang w:val="cs-CZ"/>
              </w:rPr>
              <w:footnoteReference w:id="52"/>
            </w:r>
          </w:p>
        </w:tc>
        <w:tc>
          <w:tcPr>
            <w:tcW w:w="552" w:type="pct"/>
            <w:shd w:val="clear" w:color="auto" w:fill="DAEEF3" w:themeFill="accent5" w:themeFillTint="33"/>
          </w:tcPr>
          <w:p w14:paraId="615C6F6E"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 xml:space="preserve">RAN </w:t>
            </w:r>
            <w:proofErr w:type="spellStart"/>
            <w:r w:rsidRPr="00475828">
              <w:rPr>
                <w:rFonts w:cs="Arial"/>
                <w:sz w:val="16"/>
                <w:szCs w:val="16"/>
                <w:lang w:val="cs-CZ"/>
              </w:rPr>
              <w:t>sharing</w:t>
            </w:r>
            <w:proofErr w:type="spellEnd"/>
            <w:r w:rsidRPr="00475828">
              <w:rPr>
                <w:rFonts w:cs="Arial"/>
                <w:sz w:val="16"/>
                <w:szCs w:val="16"/>
                <w:lang w:val="cs-CZ"/>
              </w:rPr>
              <w:t xml:space="preserve"> pro 3G</w:t>
            </w:r>
            <w:r w:rsidRPr="00475828">
              <w:rPr>
                <w:rStyle w:val="Znakapoznpodarou"/>
                <w:rFonts w:cs="Arial"/>
                <w:sz w:val="16"/>
                <w:szCs w:val="16"/>
                <w:lang w:val="cs-CZ"/>
              </w:rPr>
              <w:footnoteReference w:id="53"/>
            </w:r>
          </w:p>
        </w:tc>
        <w:tc>
          <w:tcPr>
            <w:tcW w:w="460" w:type="pct"/>
            <w:shd w:val="clear" w:color="auto" w:fill="DAEEF3" w:themeFill="accent5" w:themeFillTint="33"/>
          </w:tcPr>
          <w:p w14:paraId="322BC1D4" w14:textId="77777777" w:rsidR="00351B10" w:rsidRPr="00475828" w:rsidRDefault="00A163E1"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Pr>
                <w:rFonts w:cs="Arial"/>
                <w:sz w:val="16"/>
                <w:szCs w:val="16"/>
                <w:lang w:val="cs-CZ"/>
              </w:rPr>
              <w:t xml:space="preserve">Od </w:t>
            </w:r>
            <w:r w:rsidR="00351B10" w:rsidRPr="00475828">
              <w:rPr>
                <w:rFonts w:cs="Arial"/>
                <w:sz w:val="16"/>
                <w:szCs w:val="16"/>
                <w:lang w:val="cs-CZ"/>
              </w:rPr>
              <w:t>2003</w:t>
            </w:r>
          </w:p>
        </w:tc>
        <w:tc>
          <w:tcPr>
            <w:tcW w:w="550" w:type="pct"/>
            <w:shd w:val="clear" w:color="auto" w:fill="DAEEF3" w:themeFill="accent5" w:themeFillTint="33"/>
          </w:tcPr>
          <w:p w14:paraId="53B7A6F3"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p>
        </w:tc>
        <w:tc>
          <w:tcPr>
            <w:tcW w:w="2116" w:type="pct"/>
            <w:vMerge w:val="restart"/>
            <w:shd w:val="clear" w:color="auto" w:fill="DAEEF3" w:themeFill="accent5" w:themeFillTint="33"/>
            <w:vAlign w:val="center"/>
          </w:tcPr>
          <w:p w14:paraId="478C9650"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 xml:space="preserve">NRA povolil sdílení v rámci dvou konsorcií (2x2 </w:t>
            </w:r>
            <w:proofErr w:type="spellStart"/>
            <w:r w:rsidRPr="00475828">
              <w:rPr>
                <w:rFonts w:cs="Arial"/>
                <w:sz w:val="16"/>
                <w:szCs w:val="16"/>
                <w:lang w:val="cs-CZ"/>
              </w:rPr>
              <w:t>MNOs</w:t>
            </w:r>
            <w:proofErr w:type="spellEnd"/>
            <w:r w:rsidRPr="00475828">
              <w:rPr>
                <w:rFonts w:cs="Arial"/>
                <w:sz w:val="16"/>
                <w:szCs w:val="16"/>
                <w:lang w:val="cs-CZ"/>
              </w:rPr>
              <w:t>) s podmínkou, že každý operátor bude provozovat min. 30 % své sítě samostatně.</w:t>
            </w:r>
            <w:r w:rsidRPr="00475828">
              <w:rPr>
                <w:rStyle w:val="Znakapoznpodarou"/>
                <w:rFonts w:cs="Arial"/>
                <w:sz w:val="16"/>
                <w:szCs w:val="16"/>
                <w:lang w:val="cs-CZ"/>
              </w:rPr>
              <w:footnoteReference w:id="54"/>
            </w:r>
            <w:r w:rsidR="005B32A3" w:rsidRPr="005B32A3">
              <w:rPr>
                <w:rFonts w:cs="Arial"/>
                <w:sz w:val="16"/>
                <w:szCs w:val="16"/>
                <w:vertAlign w:val="superscript"/>
                <w:lang w:val="cs-CZ"/>
              </w:rPr>
              <w:t>,</w:t>
            </w:r>
            <w:r w:rsidRPr="00475828">
              <w:rPr>
                <w:rFonts w:cs="Arial"/>
                <w:sz w:val="16"/>
                <w:szCs w:val="16"/>
                <w:lang w:val="cs-CZ"/>
              </w:rPr>
              <w:t xml:space="preserve"> </w:t>
            </w:r>
            <w:r w:rsidRPr="00475828">
              <w:rPr>
                <w:rStyle w:val="Znakapoznpodarou"/>
                <w:rFonts w:cs="Arial"/>
                <w:sz w:val="16"/>
                <w:szCs w:val="16"/>
                <w:lang w:val="cs-CZ"/>
              </w:rPr>
              <w:footnoteReference w:id="55"/>
            </w:r>
          </w:p>
        </w:tc>
      </w:tr>
      <w:tr w:rsidR="009470F3" w:rsidRPr="00475828" w14:paraId="7232FB66" w14:textId="77777777" w:rsidTr="00DF7720">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357" w:type="pct"/>
            <w:shd w:val="clear" w:color="auto" w:fill="BFBFBF" w:themeFill="background1" w:themeFillShade="BF"/>
          </w:tcPr>
          <w:p w14:paraId="04DC964F" w14:textId="77777777" w:rsidR="00351B10" w:rsidRPr="00106E53" w:rsidRDefault="00351B10" w:rsidP="00DF4E36">
            <w:pPr>
              <w:keepLines/>
              <w:jc w:val="left"/>
              <w:rPr>
                <w:rFonts w:cs="Arial"/>
                <w:sz w:val="16"/>
                <w:szCs w:val="16"/>
                <w:lang w:val="cs-CZ"/>
              </w:rPr>
            </w:pPr>
            <w:r w:rsidRPr="00106E53">
              <w:rPr>
                <w:rFonts w:cs="Arial"/>
                <w:sz w:val="16"/>
                <w:szCs w:val="16"/>
                <w:lang w:val="cs-CZ"/>
              </w:rPr>
              <w:t>Švédsko II</w:t>
            </w:r>
          </w:p>
        </w:tc>
        <w:tc>
          <w:tcPr>
            <w:tcW w:w="138" w:type="pct"/>
            <w:shd w:val="clear" w:color="auto" w:fill="BFBFBF" w:themeFill="background1" w:themeFillShade="BF"/>
          </w:tcPr>
          <w:p w14:paraId="1D7F119E"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sym w:font="Wingdings" w:char="F0FC"/>
            </w:r>
          </w:p>
        </w:tc>
        <w:tc>
          <w:tcPr>
            <w:tcW w:w="138" w:type="pct"/>
            <w:shd w:val="clear" w:color="auto" w:fill="BFBFBF" w:themeFill="background1" w:themeFillShade="BF"/>
          </w:tcPr>
          <w:p w14:paraId="2ED3A7BA"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p>
        </w:tc>
        <w:tc>
          <w:tcPr>
            <w:tcW w:w="689" w:type="pct"/>
            <w:shd w:val="clear" w:color="auto" w:fill="BFBFBF" w:themeFill="background1" w:themeFillShade="BF"/>
          </w:tcPr>
          <w:p w14:paraId="08D64F6F"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proofErr w:type="spellStart"/>
            <w:r w:rsidRPr="00475828">
              <w:rPr>
                <w:rFonts w:cs="Arial"/>
                <w:sz w:val="16"/>
                <w:szCs w:val="16"/>
                <w:lang w:val="cs-CZ"/>
              </w:rPr>
              <w:t>Telenor</w:t>
            </w:r>
            <w:proofErr w:type="spellEnd"/>
            <w:r w:rsidRPr="00475828">
              <w:rPr>
                <w:rFonts w:cs="Arial"/>
                <w:sz w:val="16"/>
                <w:szCs w:val="16"/>
                <w:lang w:val="cs-CZ"/>
              </w:rPr>
              <w:t xml:space="preserve"> (16 %)</w:t>
            </w:r>
          </w:p>
          <w:p w14:paraId="20B20608"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proofErr w:type="spellStart"/>
            <w:r w:rsidRPr="00475828">
              <w:rPr>
                <w:rFonts w:cs="Arial"/>
                <w:sz w:val="16"/>
                <w:szCs w:val="16"/>
                <w:lang w:val="cs-CZ"/>
              </w:rPr>
              <w:t>Three</w:t>
            </w:r>
            <w:proofErr w:type="spellEnd"/>
            <w:r w:rsidRPr="00475828">
              <w:rPr>
                <w:rFonts w:cs="Arial"/>
                <w:sz w:val="16"/>
                <w:szCs w:val="16"/>
                <w:lang w:val="cs-CZ"/>
              </w:rPr>
              <w:t xml:space="preserve"> (</w:t>
            </w:r>
            <w:proofErr w:type="spellStart"/>
            <w:proofErr w:type="gramStart"/>
            <w:r w:rsidRPr="00475828">
              <w:rPr>
                <w:rFonts w:cs="Arial"/>
                <w:sz w:val="16"/>
                <w:szCs w:val="16"/>
                <w:lang w:val="cs-CZ"/>
              </w:rPr>
              <w:t>Hutchinson</w:t>
            </w:r>
            <w:proofErr w:type="spellEnd"/>
            <w:r w:rsidRPr="00475828">
              <w:rPr>
                <w:rFonts w:cs="Arial"/>
                <w:sz w:val="16"/>
                <w:szCs w:val="16"/>
                <w:lang w:val="cs-CZ"/>
              </w:rPr>
              <w:t>) (10</w:t>
            </w:r>
            <w:proofErr w:type="gramEnd"/>
            <w:r w:rsidRPr="00475828">
              <w:rPr>
                <w:rFonts w:cs="Arial"/>
                <w:sz w:val="16"/>
                <w:szCs w:val="16"/>
                <w:lang w:val="cs-CZ"/>
              </w:rPr>
              <w:t xml:space="preserve"> %)</w:t>
            </w:r>
          </w:p>
        </w:tc>
        <w:tc>
          <w:tcPr>
            <w:tcW w:w="552" w:type="pct"/>
            <w:shd w:val="clear" w:color="auto" w:fill="BFBFBF" w:themeFill="background1" w:themeFillShade="BF"/>
          </w:tcPr>
          <w:p w14:paraId="689E16ED"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t xml:space="preserve">RAN </w:t>
            </w:r>
            <w:proofErr w:type="spellStart"/>
            <w:r w:rsidRPr="00475828">
              <w:rPr>
                <w:rFonts w:cs="Arial"/>
                <w:sz w:val="16"/>
                <w:szCs w:val="16"/>
                <w:lang w:val="cs-CZ"/>
              </w:rPr>
              <w:t>sharing</w:t>
            </w:r>
            <w:proofErr w:type="spellEnd"/>
            <w:r w:rsidRPr="00475828">
              <w:rPr>
                <w:rFonts w:cs="Arial"/>
                <w:sz w:val="16"/>
                <w:szCs w:val="16"/>
                <w:lang w:val="cs-CZ"/>
              </w:rPr>
              <w:t xml:space="preserve"> na 3G v pásmu 2100 MHz</w:t>
            </w:r>
          </w:p>
        </w:tc>
        <w:tc>
          <w:tcPr>
            <w:tcW w:w="460" w:type="pct"/>
            <w:shd w:val="clear" w:color="auto" w:fill="BFBFBF" w:themeFill="background1" w:themeFillShade="BF"/>
          </w:tcPr>
          <w:p w14:paraId="13E280E1" w14:textId="77777777" w:rsidR="00351B10" w:rsidRPr="00475828" w:rsidRDefault="00A163E1"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Pr>
                <w:rFonts w:cs="Arial"/>
                <w:sz w:val="16"/>
                <w:szCs w:val="16"/>
                <w:lang w:val="cs-CZ"/>
              </w:rPr>
              <w:t xml:space="preserve">Od </w:t>
            </w:r>
            <w:r w:rsidR="00351B10" w:rsidRPr="00475828">
              <w:rPr>
                <w:rFonts w:cs="Arial"/>
                <w:sz w:val="16"/>
                <w:szCs w:val="16"/>
                <w:lang w:val="cs-CZ"/>
              </w:rPr>
              <w:t>2010</w:t>
            </w:r>
          </w:p>
        </w:tc>
        <w:tc>
          <w:tcPr>
            <w:tcW w:w="550" w:type="pct"/>
            <w:shd w:val="clear" w:color="auto" w:fill="BFBFBF" w:themeFill="background1" w:themeFillShade="BF"/>
          </w:tcPr>
          <w:p w14:paraId="7376F819"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p>
        </w:tc>
        <w:tc>
          <w:tcPr>
            <w:tcW w:w="2116" w:type="pct"/>
            <w:vMerge/>
            <w:shd w:val="clear" w:color="auto" w:fill="BFBFBF" w:themeFill="background1" w:themeFillShade="BF"/>
          </w:tcPr>
          <w:p w14:paraId="3618D869"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p>
        </w:tc>
      </w:tr>
      <w:tr w:rsidR="009470F3" w:rsidRPr="00475828" w14:paraId="55C21D78" w14:textId="77777777" w:rsidTr="00DF7720">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357" w:type="pct"/>
            <w:shd w:val="clear" w:color="auto" w:fill="DAEEF3" w:themeFill="accent5" w:themeFillTint="33"/>
          </w:tcPr>
          <w:p w14:paraId="28E36E4B" w14:textId="77777777" w:rsidR="00351B10" w:rsidRPr="00106E53" w:rsidRDefault="00351B10" w:rsidP="00DF4E36">
            <w:pPr>
              <w:keepLines/>
              <w:jc w:val="left"/>
              <w:rPr>
                <w:rFonts w:cs="Arial"/>
                <w:sz w:val="16"/>
                <w:szCs w:val="16"/>
                <w:lang w:val="cs-CZ"/>
              </w:rPr>
            </w:pPr>
            <w:r w:rsidRPr="00106E53">
              <w:rPr>
                <w:rFonts w:cs="Arial"/>
                <w:sz w:val="16"/>
                <w:szCs w:val="16"/>
                <w:lang w:val="cs-CZ"/>
              </w:rPr>
              <w:t>Švédsko III</w:t>
            </w:r>
          </w:p>
        </w:tc>
        <w:tc>
          <w:tcPr>
            <w:tcW w:w="138" w:type="pct"/>
            <w:shd w:val="clear" w:color="auto" w:fill="DAEEF3" w:themeFill="accent5" w:themeFillTint="33"/>
          </w:tcPr>
          <w:p w14:paraId="380AFF00"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p>
        </w:tc>
        <w:tc>
          <w:tcPr>
            <w:tcW w:w="138" w:type="pct"/>
            <w:shd w:val="clear" w:color="auto" w:fill="DAEEF3" w:themeFill="accent5" w:themeFillTint="33"/>
          </w:tcPr>
          <w:p w14:paraId="18E56EFB"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sym w:font="Wingdings" w:char="F0FC"/>
            </w:r>
          </w:p>
        </w:tc>
        <w:tc>
          <w:tcPr>
            <w:tcW w:w="689" w:type="pct"/>
            <w:shd w:val="clear" w:color="auto" w:fill="DAEEF3" w:themeFill="accent5" w:themeFillTint="33"/>
          </w:tcPr>
          <w:p w14:paraId="34DF4DB4"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proofErr w:type="spellStart"/>
            <w:r w:rsidRPr="00475828">
              <w:rPr>
                <w:rFonts w:cs="Arial"/>
                <w:sz w:val="16"/>
                <w:szCs w:val="16"/>
                <w:lang w:val="cs-CZ"/>
              </w:rPr>
              <w:t>Telenor</w:t>
            </w:r>
            <w:proofErr w:type="spellEnd"/>
            <w:r w:rsidRPr="00475828">
              <w:rPr>
                <w:rFonts w:cs="Arial"/>
                <w:sz w:val="16"/>
                <w:szCs w:val="16"/>
                <w:lang w:val="cs-CZ"/>
              </w:rPr>
              <w:t xml:space="preserve"> (16 %)</w:t>
            </w:r>
          </w:p>
          <w:p w14:paraId="75B4C6E8"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Tele 2 (26 %)</w:t>
            </w:r>
          </w:p>
        </w:tc>
        <w:tc>
          <w:tcPr>
            <w:tcW w:w="552" w:type="pct"/>
            <w:shd w:val="clear" w:color="auto" w:fill="DAEEF3" w:themeFill="accent5" w:themeFillTint="33"/>
          </w:tcPr>
          <w:p w14:paraId="333FAE4A"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proofErr w:type="spellStart"/>
            <w:r w:rsidRPr="00475828">
              <w:rPr>
                <w:rFonts w:cs="Arial"/>
                <w:sz w:val="16"/>
                <w:szCs w:val="16"/>
                <w:lang w:val="cs-CZ"/>
              </w:rPr>
              <w:t>Core</w:t>
            </w:r>
            <w:proofErr w:type="spellEnd"/>
            <w:r w:rsidRPr="00475828">
              <w:rPr>
                <w:rFonts w:cs="Arial"/>
                <w:sz w:val="16"/>
                <w:szCs w:val="16"/>
                <w:lang w:val="cs-CZ"/>
              </w:rPr>
              <w:t xml:space="preserve"> </w:t>
            </w:r>
            <w:proofErr w:type="spellStart"/>
            <w:r w:rsidRPr="00475828">
              <w:rPr>
                <w:rFonts w:cs="Arial"/>
                <w:sz w:val="16"/>
                <w:szCs w:val="16"/>
                <w:lang w:val="cs-CZ"/>
              </w:rPr>
              <w:t>sharing</w:t>
            </w:r>
            <w:proofErr w:type="spellEnd"/>
            <w:r w:rsidRPr="00475828">
              <w:rPr>
                <w:rFonts w:cs="Arial"/>
                <w:sz w:val="16"/>
                <w:szCs w:val="16"/>
                <w:lang w:val="cs-CZ"/>
              </w:rPr>
              <w:t xml:space="preserve"> pro 4G</w:t>
            </w:r>
            <w:r w:rsidRPr="00475828">
              <w:rPr>
                <w:rStyle w:val="Znakapoznpodarou"/>
                <w:rFonts w:cs="Arial"/>
                <w:sz w:val="16"/>
                <w:szCs w:val="16"/>
                <w:lang w:val="cs-CZ"/>
              </w:rPr>
              <w:footnoteReference w:id="56"/>
            </w:r>
          </w:p>
        </w:tc>
        <w:tc>
          <w:tcPr>
            <w:tcW w:w="460" w:type="pct"/>
            <w:shd w:val="clear" w:color="auto" w:fill="DAEEF3" w:themeFill="accent5" w:themeFillTint="33"/>
          </w:tcPr>
          <w:p w14:paraId="2D0E180A" w14:textId="77777777" w:rsidR="00351B10" w:rsidRPr="00475828" w:rsidRDefault="00A163E1"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Pr>
                <w:rFonts w:cs="Arial"/>
                <w:sz w:val="16"/>
                <w:szCs w:val="16"/>
                <w:lang w:val="cs-CZ"/>
              </w:rPr>
              <w:t xml:space="preserve">Od </w:t>
            </w:r>
            <w:r w:rsidR="00351B10" w:rsidRPr="00475828">
              <w:rPr>
                <w:rFonts w:cs="Arial"/>
                <w:sz w:val="16"/>
                <w:szCs w:val="16"/>
                <w:lang w:val="cs-CZ"/>
              </w:rPr>
              <w:t>2009</w:t>
            </w:r>
          </w:p>
        </w:tc>
        <w:tc>
          <w:tcPr>
            <w:tcW w:w="550" w:type="pct"/>
            <w:shd w:val="clear" w:color="auto" w:fill="DAEEF3" w:themeFill="accent5" w:themeFillTint="33"/>
          </w:tcPr>
          <w:p w14:paraId="10BCF23B"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p>
        </w:tc>
        <w:tc>
          <w:tcPr>
            <w:tcW w:w="2116" w:type="pct"/>
            <w:shd w:val="clear" w:color="auto" w:fill="DAEEF3" w:themeFill="accent5" w:themeFillTint="33"/>
          </w:tcPr>
          <w:p w14:paraId="3BA5768F"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p>
        </w:tc>
      </w:tr>
      <w:tr w:rsidR="005D6008" w:rsidRPr="00475828" w14:paraId="54F19363" w14:textId="77777777" w:rsidTr="00DF7720">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357" w:type="pct"/>
          </w:tcPr>
          <w:p w14:paraId="12F1766A" w14:textId="77777777" w:rsidR="00351B10" w:rsidRPr="00106E53" w:rsidRDefault="00351B10" w:rsidP="00DF4E36">
            <w:pPr>
              <w:keepLines/>
              <w:jc w:val="left"/>
              <w:rPr>
                <w:rFonts w:cs="Arial"/>
                <w:sz w:val="16"/>
                <w:szCs w:val="16"/>
                <w:lang w:val="cs-CZ"/>
              </w:rPr>
            </w:pPr>
            <w:r w:rsidRPr="00106E53">
              <w:rPr>
                <w:rFonts w:cs="Arial"/>
                <w:sz w:val="16"/>
                <w:szCs w:val="16"/>
                <w:lang w:val="cs-CZ"/>
              </w:rPr>
              <w:t>Velká Británie I</w:t>
            </w:r>
          </w:p>
        </w:tc>
        <w:tc>
          <w:tcPr>
            <w:tcW w:w="138" w:type="pct"/>
          </w:tcPr>
          <w:p w14:paraId="5458709C"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sym w:font="Wingdings" w:char="F0FC"/>
            </w:r>
          </w:p>
        </w:tc>
        <w:tc>
          <w:tcPr>
            <w:tcW w:w="138" w:type="pct"/>
          </w:tcPr>
          <w:p w14:paraId="5FE50209"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p>
        </w:tc>
        <w:tc>
          <w:tcPr>
            <w:tcW w:w="689" w:type="pct"/>
          </w:tcPr>
          <w:p w14:paraId="6F8C0CA7"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t>T-Mobile (17 %)</w:t>
            </w:r>
          </w:p>
          <w:p w14:paraId="6ACE4665"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t>O2 (22 %)</w:t>
            </w:r>
            <w:r w:rsidRPr="00475828">
              <w:rPr>
                <w:rStyle w:val="Znakapoznpodarou"/>
                <w:rFonts w:cs="Arial"/>
                <w:sz w:val="16"/>
                <w:szCs w:val="16"/>
                <w:lang w:val="cs-CZ"/>
              </w:rPr>
              <w:footnoteReference w:id="57"/>
            </w:r>
          </w:p>
        </w:tc>
        <w:tc>
          <w:tcPr>
            <w:tcW w:w="552" w:type="pct"/>
          </w:tcPr>
          <w:p w14:paraId="066F87E8"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proofErr w:type="spellStart"/>
            <w:r w:rsidRPr="00475828">
              <w:rPr>
                <w:rFonts w:cs="Arial"/>
                <w:sz w:val="16"/>
                <w:szCs w:val="16"/>
                <w:lang w:val="cs-CZ"/>
              </w:rPr>
              <w:t>Site</w:t>
            </w:r>
            <w:proofErr w:type="spellEnd"/>
            <w:r w:rsidRPr="00475828">
              <w:rPr>
                <w:rFonts w:cs="Arial"/>
                <w:sz w:val="16"/>
                <w:szCs w:val="16"/>
                <w:lang w:val="cs-CZ"/>
              </w:rPr>
              <w:t xml:space="preserve"> </w:t>
            </w:r>
            <w:proofErr w:type="spellStart"/>
            <w:r w:rsidRPr="00475828">
              <w:rPr>
                <w:rFonts w:cs="Arial"/>
                <w:sz w:val="16"/>
                <w:szCs w:val="16"/>
                <w:lang w:val="cs-CZ"/>
              </w:rPr>
              <w:t>sharing</w:t>
            </w:r>
            <w:proofErr w:type="spellEnd"/>
            <w:r w:rsidRPr="00475828">
              <w:rPr>
                <w:rFonts w:cs="Arial"/>
                <w:sz w:val="16"/>
                <w:szCs w:val="16"/>
                <w:lang w:val="cs-CZ"/>
              </w:rPr>
              <w:t xml:space="preserve"> v 2G, 3G a národní roaming v určitých oblastech</w:t>
            </w:r>
            <w:r w:rsidRPr="00475828">
              <w:rPr>
                <w:rStyle w:val="Znakapoznpodarou"/>
                <w:rFonts w:cs="Arial"/>
                <w:sz w:val="16"/>
                <w:szCs w:val="16"/>
                <w:lang w:val="cs-CZ"/>
              </w:rPr>
              <w:footnoteReference w:id="58"/>
            </w:r>
          </w:p>
        </w:tc>
        <w:tc>
          <w:tcPr>
            <w:tcW w:w="460" w:type="pct"/>
          </w:tcPr>
          <w:p w14:paraId="7FBD8274" w14:textId="77777777" w:rsidR="00351B10" w:rsidRPr="00475828" w:rsidRDefault="00A163E1"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Pr>
                <w:rFonts w:cs="Arial"/>
                <w:sz w:val="16"/>
                <w:szCs w:val="16"/>
                <w:lang w:val="cs-CZ"/>
              </w:rPr>
              <w:t xml:space="preserve">Od </w:t>
            </w:r>
            <w:r w:rsidR="00351B10" w:rsidRPr="00475828">
              <w:rPr>
                <w:rFonts w:cs="Arial"/>
                <w:sz w:val="16"/>
                <w:szCs w:val="16"/>
                <w:lang w:val="cs-CZ"/>
              </w:rPr>
              <w:t>2001</w:t>
            </w:r>
          </w:p>
          <w:p w14:paraId="24429EAB" w14:textId="04424633"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t>Smlouva je na dobu neurčitou, ale může být vypověděna každou stranou s dvouletou výpovědní lhůtou po 31. 12. 2007</w:t>
            </w:r>
            <w:r w:rsidR="006A481F">
              <w:rPr>
                <w:rFonts w:cs="Arial"/>
                <w:sz w:val="16"/>
                <w:szCs w:val="16"/>
                <w:lang w:val="cs-CZ"/>
              </w:rPr>
              <w:t xml:space="preserve">. </w:t>
            </w:r>
            <w:r w:rsidRPr="00475828">
              <w:rPr>
                <w:rStyle w:val="Znakapoznpodarou"/>
                <w:rFonts w:cs="Arial"/>
                <w:sz w:val="16"/>
                <w:szCs w:val="16"/>
                <w:lang w:val="cs-CZ"/>
              </w:rPr>
              <w:footnoteReference w:id="59"/>
            </w:r>
          </w:p>
        </w:tc>
        <w:tc>
          <w:tcPr>
            <w:tcW w:w="550" w:type="pct"/>
          </w:tcPr>
          <w:p w14:paraId="2ACDC9C8"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proofErr w:type="spellStart"/>
            <w:r w:rsidRPr="00475828">
              <w:rPr>
                <w:rFonts w:cs="Arial"/>
                <w:sz w:val="16"/>
                <w:szCs w:val="16"/>
                <w:lang w:val="cs-CZ"/>
              </w:rPr>
              <w:t>Site</w:t>
            </w:r>
            <w:proofErr w:type="spellEnd"/>
            <w:r w:rsidRPr="00475828">
              <w:rPr>
                <w:rFonts w:cs="Arial"/>
                <w:sz w:val="16"/>
                <w:szCs w:val="16"/>
                <w:lang w:val="cs-CZ"/>
              </w:rPr>
              <w:t xml:space="preserve"> </w:t>
            </w:r>
            <w:proofErr w:type="spellStart"/>
            <w:r w:rsidRPr="00475828">
              <w:rPr>
                <w:rFonts w:cs="Arial"/>
                <w:sz w:val="16"/>
                <w:szCs w:val="16"/>
                <w:lang w:val="cs-CZ"/>
              </w:rPr>
              <w:t>sharing</w:t>
            </w:r>
            <w:proofErr w:type="spellEnd"/>
            <w:r w:rsidRPr="00475828">
              <w:rPr>
                <w:rFonts w:cs="Arial"/>
                <w:sz w:val="16"/>
                <w:szCs w:val="16"/>
                <w:lang w:val="cs-CZ"/>
              </w:rPr>
              <w:t xml:space="preserve">, národní roaming pro určité </w:t>
            </w:r>
            <w:r w:rsidR="00A163E1">
              <w:rPr>
                <w:rFonts w:cs="Arial"/>
                <w:sz w:val="16"/>
                <w:szCs w:val="16"/>
                <w:lang w:val="cs-CZ"/>
              </w:rPr>
              <w:t xml:space="preserve">geografické </w:t>
            </w:r>
            <w:r w:rsidRPr="00475828">
              <w:rPr>
                <w:rFonts w:cs="Arial"/>
                <w:sz w:val="16"/>
                <w:szCs w:val="16"/>
                <w:lang w:val="cs-CZ"/>
              </w:rPr>
              <w:t xml:space="preserve">oblasti </w:t>
            </w:r>
          </w:p>
        </w:tc>
        <w:tc>
          <w:tcPr>
            <w:tcW w:w="2116" w:type="pct"/>
          </w:tcPr>
          <w:p w14:paraId="33C2D852" w14:textId="7D8BBE82"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t>Komise schválila sdílení sítí v rámci výjimky dle čl. 81 odst. 3 SES</w:t>
            </w:r>
            <w:r w:rsidR="006A481F">
              <w:rPr>
                <w:rFonts w:cs="Arial"/>
                <w:sz w:val="16"/>
                <w:szCs w:val="16"/>
                <w:lang w:val="cs-CZ"/>
              </w:rPr>
              <w:t xml:space="preserve">. </w:t>
            </w:r>
            <w:r w:rsidRPr="00475828">
              <w:rPr>
                <w:rStyle w:val="Znakapoznpodarou"/>
                <w:rFonts w:cs="Arial"/>
                <w:sz w:val="16"/>
                <w:szCs w:val="16"/>
                <w:lang w:val="cs-CZ"/>
              </w:rPr>
              <w:footnoteReference w:id="60"/>
            </w:r>
          </w:p>
        </w:tc>
      </w:tr>
      <w:tr w:rsidR="009470F3" w:rsidRPr="00843D00" w14:paraId="2A83418E" w14:textId="77777777" w:rsidTr="00DF7720">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357" w:type="pct"/>
            <w:shd w:val="clear" w:color="auto" w:fill="DAEEF3" w:themeFill="accent5" w:themeFillTint="33"/>
          </w:tcPr>
          <w:p w14:paraId="52B00F63" w14:textId="77777777" w:rsidR="00351B10" w:rsidRPr="00106E53" w:rsidRDefault="00351B10" w:rsidP="00DF4E36">
            <w:pPr>
              <w:keepLines/>
              <w:jc w:val="left"/>
              <w:rPr>
                <w:rFonts w:cs="Arial"/>
                <w:sz w:val="16"/>
                <w:szCs w:val="16"/>
                <w:lang w:val="cs-CZ"/>
              </w:rPr>
            </w:pPr>
            <w:r w:rsidRPr="00106E53">
              <w:rPr>
                <w:rFonts w:cs="Arial"/>
                <w:sz w:val="16"/>
                <w:szCs w:val="16"/>
                <w:lang w:val="cs-CZ"/>
              </w:rPr>
              <w:t>Velká Británie II</w:t>
            </w:r>
          </w:p>
        </w:tc>
        <w:tc>
          <w:tcPr>
            <w:tcW w:w="138" w:type="pct"/>
            <w:shd w:val="clear" w:color="auto" w:fill="DAEEF3" w:themeFill="accent5" w:themeFillTint="33"/>
          </w:tcPr>
          <w:p w14:paraId="474B1B50"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sym w:font="Wingdings" w:char="F0FC"/>
            </w:r>
          </w:p>
        </w:tc>
        <w:tc>
          <w:tcPr>
            <w:tcW w:w="138" w:type="pct"/>
            <w:shd w:val="clear" w:color="auto" w:fill="DAEEF3" w:themeFill="accent5" w:themeFillTint="33"/>
          </w:tcPr>
          <w:p w14:paraId="27639771"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p>
        </w:tc>
        <w:tc>
          <w:tcPr>
            <w:tcW w:w="689" w:type="pct"/>
            <w:shd w:val="clear" w:color="auto" w:fill="DAEEF3" w:themeFill="accent5" w:themeFillTint="33"/>
          </w:tcPr>
          <w:p w14:paraId="32B5998D"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T-Mobile (nyní EE, 33 %)</w:t>
            </w:r>
          </w:p>
          <w:p w14:paraId="7BD08558"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proofErr w:type="spellStart"/>
            <w:r w:rsidRPr="00475828">
              <w:rPr>
                <w:rFonts w:cs="Arial"/>
                <w:sz w:val="16"/>
                <w:szCs w:val="16"/>
                <w:lang w:val="cs-CZ"/>
              </w:rPr>
              <w:t>Three</w:t>
            </w:r>
            <w:proofErr w:type="spellEnd"/>
            <w:r w:rsidRPr="00475828">
              <w:rPr>
                <w:rFonts w:cs="Arial"/>
                <w:sz w:val="16"/>
                <w:szCs w:val="16"/>
                <w:lang w:val="cs-CZ"/>
              </w:rPr>
              <w:t xml:space="preserve"> (12 %)</w:t>
            </w:r>
          </w:p>
        </w:tc>
        <w:tc>
          <w:tcPr>
            <w:tcW w:w="552" w:type="pct"/>
            <w:shd w:val="clear" w:color="auto" w:fill="DAEEF3" w:themeFill="accent5" w:themeFillTint="33"/>
          </w:tcPr>
          <w:p w14:paraId="099879FB"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 xml:space="preserve">RAN </w:t>
            </w:r>
            <w:proofErr w:type="spellStart"/>
            <w:r w:rsidRPr="00475828">
              <w:rPr>
                <w:rFonts w:cs="Arial"/>
                <w:sz w:val="16"/>
                <w:szCs w:val="16"/>
                <w:lang w:val="cs-CZ"/>
              </w:rPr>
              <w:t>sharing</w:t>
            </w:r>
            <w:proofErr w:type="spellEnd"/>
            <w:r w:rsidRPr="00475828">
              <w:rPr>
                <w:rFonts w:cs="Arial"/>
                <w:sz w:val="16"/>
                <w:szCs w:val="16"/>
                <w:lang w:val="cs-CZ"/>
              </w:rPr>
              <w:t xml:space="preserve"> pro 3G</w:t>
            </w:r>
            <w:r w:rsidRPr="00475828">
              <w:rPr>
                <w:rStyle w:val="Znakapoznpodarou"/>
                <w:rFonts w:cs="Arial"/>
                <w:sz w:val="16"/>
                <w:szCs w:val="16"/>
                <w:lang w:val="cs-CZ"/>
              </w:rPr>
              <w:footnoteReference w:id="61"/>
            </w:r>
          </w:p>
          <w:p w14:paraId="398C5326"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w:t>
            </w:r>
            <w:proofErr w:type="spellStart"/>
            <w:r w:rsidRPr="00475828">
              <w:rPr>
                <w:rFonts w:cs="Arial"/>
                <w:sz w:val="16"/>
                <w:szCs w:val="16"/>
                <w:lang w:val="cs-CZ"/>
              </w:rPr>
              <w:t>Three</w:t>
            </w:r>
            <w:proofErr w:type="spellEnd"/>
            <w:r w:rsidRPr="00475828">
              <w:rPr>
                <w:rFonts w:cs="Arial"/>
                <w:sz w:val="16"/>
                <w:szCs w:val="16"/>
                <w:lang w:val="cs-CZ"/>
              </w:rPr>
              <w:t xml:space="preserve"> má smlouvu o</w:t>
            </w:r>
            <w:r w:rsidR="00AC6783">
              <w:rPr>
                <w:rFonts w:cs="Arial"/>
                <w:sz w:val="16"/>
                <w:szCs w:val="16"/>
                <w:lang w:val="cs-CZ"/>
              </w:rPr>
              <w:t> </w:t>
            </w:r>
            <w:r w:rsidRPr="00475828">
              <w:rPr>
                <w:rFonts w:cs="Arial"/>
                <w:sz w:val="16"/>
                <w:szCs w:val="16"/>
                <w:lang w:val="cs-CZ"/>
              </w:rPr>
              <w:t>národním roamingu na 2G sítě s Orange)</w:t>
            </w:r>
          </w:p>
        </w:tc>
        <w:tc>
          <w:tcPr>
            <w:tcW w:w="460" w:type="pct"/>
            <w:shd w:val="clear" w:color="auto" w:fill="DAEEF3" w:themeFill="accent5" w:themeFillTint="33"/>
          </w:tcPr>
          <w:p w14:paraId="575E9EC9"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2007 - 2031</w:t>
            </w:r>
            <w:r w:rsidRPr="00475828">
              <w:rPr>
                <w:rStyle w:val="Znakapoznpodarou"/>
                <w:rFonts w:cs="Arial"/>
                <w:sz w:val="16"/>
                <w:szCs w:val="16"/>
                <w:lang w:val="cs-CZ"/>
              </w:rPr>
              <w:footnoteReference w:id="62"/>
            </w:r>
            <w:r w:rsidR="005B32A3">
              <w:rPr>
                <w:rFonts w:cs="Arial"/>
                <w:sz w:val="16"/>
                <w:szCs w:val="16"/>
                <w:vertAlign w:val="superscript"/>
                <w:lang w:val="cs-CZ"/>
              </w:rPr>
              <w:t xml:space="preserve">, </w:t>
            </w:r>
            <w:r w:rsidRPr="00475828">
              <w:rPr>
                <w:rStyle w:val="Znakapoznpodarou"/>
                <w:rFonts w:cs="Arial"/>
                <w:sz w:val="16"/>
                <w:szCs w:val="16"/>
                <w:lang w:val="cs-CZ"/>
              </w:rPr>
              <w:footnoteReference w:id="63"/>
            </w:r>
            <w:r w:rsidRPr="00475828">
              <w:rPr>
                <w:rFonts w:cs="Arial"/>
                <w:sz w:val="16"/>
                <w:szCs w:val="16"/>
                <w:lang w:val="cs-CZ"/>
              </w:rPr>
              <w:t xml:space="preserve"> </w:t>
            </w:r>
          </w:p>
        </w:tc>
        <w:tc>
          <w:tcPr>
            <w:tcW w:w="550" w:type="pct"/>
            <w:shd w:val="clear" w:color="auto" w:fill="DAEEF3" w:themeFill="accent5" w:themeFillTint="33"/>
          </w:tcPr>
          <w:p w14:paraId="63FE77E2"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 xml:space="preserve">RAN </w:t>
            </w:r>
            <w:proofErr w:type="spellStart"/>
            <w:r w:rsidRPr="00475828">
              <w:rPr>
                <w:rFonts w:cs="Arial"/>
                <w:sz w:val="16"/>
                <w:szCs w:val="16"/>
                <w:lang w:val="cs-CZ"/>
              </w:rPr>
              <w:t>sharing</w:t>
            </w:r>
            <w:proofErr w:type="spellEnd"/>
            <w:r w:rsidRPr="00475828">
              <w:rPr>
                <w:rFonts w:cs="Arial"/>
                <w:sz w:val="16"/>
                <w:szCs w:val="16"/>
                <w:lang w:val="cs-CZ"/>
              </w:rPr>
              <w:t>,</w:t>
            </w:r>
          </w:p>
          <w:p w14:paraId="344A0466" w14:textId="3FC5E7BC"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MBNL (</w:t>
            </w:r>
            <w:r w:rsidR="00950FDF">
              <w:rPr>
                <w:rFonts w:cs="Arial"/>
                <w:sz w:val="16"/>
                <w:szCs w:val="16"/>
                <w:lang w:val="cs-CZ"/>
              </w:rPr>
              <w:t>JV</w:t>
            </w:r>
            <w:r w:rsidRPr="00475828">
              <w:rPr>
                <w:rFonts w:cs="Arial"/>
                <w:sz w:val="16"/>
                <w:szCs w:val="16"/>
                <w:lang w:val="cs-CZ"/>
              </w:rPr>
              <w:t xml:space="preserve"> společnost) spravuje zařízení sítí (základnové stanice, antény)</w:t>
            </w:r>
            <w:r w:rsidR="00A17A75">
              <w:rPr>
                <w:rFonts w:cs="Arial"/>
                <w:sz w:val="16"/>
                <w:szCs w:val="16"/>
                <w:lang w:val="cs-CZ"/>
              </w:rPr>
              <w:t xml:space="preserve">. </w:t>
            </w:r>
            <w:r w:rsidRPr="00475828">
              <w:rPr>
                <w:rStyle w:val="Znakapoznpodarou"/>
                <w:rFonts w:cs="Arial"/>
                <w:sz w:val="16"/>
                <w:szCs w:val="16"/>
                <w:lang w:val="cs-CZ"/>
              </w:rPr>
              <w:footnoteReference w:id="64"/>
            </w:r>
          </w:p>
        </w:tc>
        <w:tc>
          <w:tcPr>
            <w:tcW w:w="2116" w:type="pct"/>
            <w:shd w:val="clear" w:color="auto" w:fill="DAEEF3" w:themeFill="accent5" w:themeFillTint="33"/>
          </w:tcPr>
          <w:p w14:paraId="16979B18" w14:textId="77777777" w:rsidR="00351B10" w:rsidRPr="00475828" w:rsidRDefault="00A163E1"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Pr>
                <w:rFonts w:cs="Arial"/>
                <w:sz w:val="16"/>
                <w:szCs w:val="16"/>
                <w:lang w:val="cs-CZ"/>
              </w:rPr>
              <w:t>OFCOM</w:t>
            </w:r>
            <w:r w:rsidRPr="00475828">
              <w:rPr>
                <w:rFonts w:cs="Arial"/>
                <w:sz w:val="16"/>
                <w:szCs w:val="16"/>
                <w:lang w:val="cs-CZ"/>
              </w:rPr>
              <w:t xml:space="preserve"> </w:t>
            </w:r>
            <w:r w:rsidR="00351B10" w:rsidRPr="00475828">
              <w:rPr>
                <w:rFonts w:cs="Arial"/>
                <w:sz w:val="16"/>
                <w:szCs w:val="16"/>
                <w:lang w:val="cs-CZ"/>
              </w:rPr>
              <w:t xml:space="preserve">podporuje sdílení typu </w:t>
            </w:r>
            <w:proofErr w:type="spellStart"/>
            <w:r w:rsidR="00351B10" w:rsidRPr="00475828">
              <w:rPr>
                <w:rFonts w:cs="Arial"/>
                <w:sz w:val="16"/>
                <w:szCs w:val="16"/>
                <w:lang w:val="cs-CZ"/>
              </w:rPr>
              <w:t>site</w:t>
            </w:r>
            <w:proofErr w:type="spellEnd"/>
            <w:r w:rsidR="00351B10" w:rsidRPr="00475828">
              <w:rPr>
                <w:rFonts w:cs="Arial"/>
                <w:sz w:val="16"/>
                <w:szCs w:val="16"/>
                <w:lang w:val="cs-CZ"/>
              </w:rPr>
              <w:t xml:space="preserve"> </w:t>
            </w:r>
            <w:proofErr w:type="spellStart"/>
            <w:r w:rsidR="00351B10" w:rsidRPr="00475828">
              <w:rPr>
                <w:rFonts w:cs="Arial"/>
                <w:sz w:val="16"/>
                <w:szCs w:val="16"/>
                <w:lang w:val="cs-CZ"/>
              </w:rPr>
              <w:t>shairng</w:t>
            </w:r>
            <w:proofErr w:type="spellEnd"/>
            <w:r w:rsidR="00351B10" w:rsidRPr="00475828">
              <w:rPr>
                <w:rFonts w:cs="Arial"/>
                <w:sz w:val="16"/>
                <w:szCs w:val="16"/>
                <w:lang w:val="cs-CZ"/>
              </w:rPr>
              <w:t>. V roce 2011 vydal tiskovou zprávu, v níž podporuje sdílení lokalit a stožárů „</w:t>
            </w:r>
            <w:r>
              <w:rPr>
                <w:rFonts w:cs="Arial"/>
                <w:sz w:val="16"/>
                <w:szCs w:val="16"/>
                <w:lang w:val="cs-CZ"/>
              </w:rPr>
              <w:t>všude tam, kde je to možné</w:t>
            </w:r>
            <w:r w:rsidR="00351B10" w:rsidRPr="00475828">
              <w:rPr>
                <w:rFonts w:cs="Arial"/>
                <w:sz w:val="16"/>
                <w:szCs w:val="16"/>
                <w:lang w:val="cs-CZ"/>
              </w:rPr>
              <w:t>“</w:t>
            </w:r>
            <w:r w:rsidR="00351B10" w:rsidRPr="00475828">
              <w:rPr>
                <w:rStyle w:val="Znakapoznpodarou"/>
                <w:rFonts w:cs="Arial"/>
                <w:sz w:val="16"/>
                <w:szCs w:val="16"/>
                <w:lang w:val="cs-CZ"/>
              </w:rPr>
              <w:footnoteReference w:id="65"/>
            </w:r>
          </w:p>
          <w:p w14:paraId="5125999F"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p>
        </w:tc>
      </w:tr>
      <w:tr w:rsidR="005D6008" w:rsidRPr="00843D00" w14:paraId="6152EBEA" w14:textId="77777777" w:rsidTr="00DF7720">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357" w:type="pct"/>
          </w:tcPr>
          <w:p w14:paraId="0876A16E" w14:textId="77777777" w:rsidR="00351B10" w:rsidRPr="00106E53" w:rsidRDefault="00351B10" w:rsidP="00DF4E36">
            <w:pPr>
              <w:keepLines/>
              <w:jc w:val="left"/>
              <w:rPr>
                <w:rFonts w:cs="Arial"/>
                <w:sz w:val="16"/>
                <w:szCs w:val="16"/>
                <w:lang w:val="cs-CZ"/>
              </w:rPr>
            </w:pPr>
            <w:r w:rsidRPr="00106E53">
              <w:rPr>
                <w:rFonts w:cs="Arial"/>
                <w:sz w:val="16"/>
                <w:szCs w:val="16"/>
                <w:lang w:val="cs-CZ"/>
              </w:rPr>
              <w:t>Velká Británie III</w:t>
            </w:r>
          </w:p>
        </w:tc>
        <w:tc>
          <w:tcPr>
            <w:tcW w:w="138" w:type="pct"/>
          </w:tcPr>
          <w:p w14:paraId="4A1BBF51"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p>
        </w:tc>
        <w:tc>
          <w:tcPr>
            <w:tcW w:w="138" w:type="pct"/>
          </w:tcPr>
          <w:p w14:paraId="258775C5"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sym w:font="Wingdings" w:char="F0FC"/>
            </w:r>
          </w:p>
        </w:tc>
        <w:tc>
          <w:tcPr>
            <w:tcW w:w="689" w:type="pct"/>
          </w:tcPr>
          <w:p w14:paraId="58BDDD42"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t>EE (33 %)</w:t>
            </w:r>
          </w:p>
          <w:p w14:paraId="06DE0CE3"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proofErr w:type="spellStart"/>
            <w:r w:rsidRPr="00475828">
              <w:rPr>
                <w:rFonts w:cs="Arial"/>
                <w:sz w:val="16"/>
                <w:szCs w:val="16"/>
                <w:lang w:val="cs-CZ"/>
              </w:rPr>
              <w:t>Three</w:t>
            </w:r>
            <w:proofErr w:type="spellEnd"/>
            <w:r w:rsidRPr="00475828">
              <w:rPr>
                <w:rFonts w:cs="Arial"/>
                <w:sz w:val="16"/>
                <w:szCs w:val="16"/>
                <w:lang w:val="cs-CZ"/>
              </w:rPr>
              <w:t xml:space="preserve"> (12 %)</w:t>
            </w:r>
          </w:p>
        </w:tc>
        <w:tc>
          <w:tcPr>
            <w:tcW w:w="552" w:type="pct"/>
          </w:tcPr>
          <w:p w14:paraId="0FA12720" w14:textId="77777777"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proofErr w:type="spellStart"/>
            <w:r w:rsidRPr="00475828">
              <w:rPr>
                <w:rFonts w:cs="Arial"/>
                <w:sz w:val="16"/>
                <w:szCs w:val="16"/>
                <w:lang w:val="cs-CZ"/>
              </w:rPr>
              <w:t>Site</w:t>
            </w:r>
            <w:proofErr w:type="spellEnd"/>
            <w:r w:rsidRPr="00475828">
              <w:rPr>
                <w:rFonts w:cs="Arial"/>
                <w:sz w:val="16"/>
                <w:szCs w:val="16"/>
                <w:lang w:val="cs-CZ"/>
              </w:rPr>
              <w:t xml:space="preserve"> </w:t>
            </w:r>
            <w:proofErr w:type="spellStart"/>
            <w:r w:rsidRPr="00475828">
              <w:rPr>
                <w:rFonts w:cs="Arial"/>
                <w:sz w:val="16"/>
                <w:szCs w:val="16"/>
                <w:lang w:val="cs-CZ"/>
              </w:rPr>
              <w:t>sharing</w:t>
            </w:r>
            <w:proofErr w:type="spellEnd"/>
            <w:r w:rsidRPr="00475828">
              <w:rPr>
                <w:rFonts w:cs="Arial"/>
                <w:sz w:val="16"/>
                <w:szCs w:val="16"/>
                <w:lang w:val="cs-CZ"/>
              </w:rPr>
              <w:t xml:space="preserve"> pro 4G</w:t>
            </w:r>
          </w:p>
        </w:tc>
        <w:tc>
          <w:tcPr>
            <w:tcW w:w="460" w:type="pct"/>
          </w:tcPr>
          <w:p w14:paraId="3466B51E" w14:textId="77777777" w:rsidR="00351B10" w:rsidRPr="00475828" w:rsidRDefault="00A163E1"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Pr>
                <w:rFonts w:cs="Arial"/>
                <w:sz w:val="16"/>
                <w:szCs w:val="16"/>
                <w:lang w:val="cs-CZ"/>
              </w:rPr>
              <w:t xml:space="preserve">Od </w:t>
            </w:r>
            <w:r w:rsidR="00351B10" w:rsidRPr="00475828">
              <w:rPr>
                <w:rFonts w:cs="Arial"/>
                <w:sz w:val="16"/>
                <w:szCs w:val="16"/>
                <w:lang w:val="cs-CZ"/>
              </w:rPr>
              <w:t>2014</w:t>
            </w:r>
          </w:p>
        </w:tc>
        <w:tc>
          <w:tcPr>
            <w:tcW w:w="550" w:type="pct"/>
          </w:tcPr>
          <w:p w14:paraId="633F061B" w14:textId="0A592F18" w:rsidR="00351B10" w:rsidRPr="00475828" w:rsidRDefault="00351B10"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sidRPr="00475828">
              <w:rPr>
                <w:rFonts w:cs="Arial"/>
                <w:sz w:val="16"/>
                <w:szCs w:val="16"/>
                <w:lang w:val="cs-CZ"/>
              </w:rPr>
              <w:t xml:space="preserve">Sdílení pouze pasivních prvků infrastruktury jako jsou stožáry, </w:t>
            </w:r>
            <w:proofErr w:type="spellStart"/>
            <w:r w:rsidRPr="00475828">
              <w:rPr>
                <w:rFonts w:cs="Arial"/>
                <w:sz w:val="16"/>
                <w:szCs w:val="16"/>
                <w:lang w:val="cs-CZ"/>
              </w:rPr>
              <w:t>backhaul</w:t>
            </w:r>
            <w:proofErr w:type="spellEnd"/>
            <w:r w:rsidR="0080549F">
              <w:rPr>
                <w:rFonts w:cs="Arial"/>
                <w:sz w:val="16"/>
                <w:szCs w:val="16"/>
                <w:lang w:val="cs-CZ"/>
              </w:rPr>
              <w:t xml:space="preserve"> </w:t>
            </w:r>
            <w:r w:rsidRPr="00475828">
              <w:rPr>
                <w:rStyle w:val="Znakapoznpodarou"/>
                <w:rFonts w:cs="Arial"/>
                <w:sz w:val="16"/>
                <w:szCs w:val="16"/>
                <w:lang w:val="cs-CZ"/>
              </w:rPr>
              <w:footnoteReference w:id="66"/>
            </w:r>
          </w:p>
        </w:tc>
        <w:tc>
          <w:tcPr>
            <w:tcW w:w="2116" w:type="pct"/>
          </w:tcPr>
          <w:p w14:paraId="03DA1B38" w14:textId="77777777" w:rsidR="00351B10" w:rsidRPr="00475828" w:rsidRDefault="00A1360F" w:rsidP="00DF4E36">
            <w:pPr>
              <w:keepLines/>
              <w:jc w:val="left"/>
              <w:cnfStyle w:val="000000100000" w:firstRow="0" w:lastRow="0" w:firstColumn="0" w:lastColumn="0" w:oddVBand="0" w:evenVBand="0" w:oddHBand="1" w:evenHBand="0" w:firstRowFirstColumn="0" w:firstRowLastColumn="0" w:lastRowFirstColumn="0" w:lastRowLastColumn="0"/>
              <w:rPr>
                <w:rFonts w:cs="Arial"/>
                <w:sz w:val="16"/>
                <w:szCs w:val="16"/>
                <w:lang w:val="cs-CZ"/>
              </w:rPr>
            </w:pPr>
            <w:r>
              <w:rPr>
                <w:rFonts w:cs="Arial"/>
                <w:sz w:val="16"/>
                <w:szCs w:val="16"/>
                <w:lang w:val="cs-CZ"/>
              </w:rPr>
              <w:t>OFCOM</w:t>
            </w:r>
            <w:r w:rsidRPr="00475828">
              <w:rPr>
                <w:rFonts w:cs="Arial"/>
                <w:sz w:val="16"/>
                <w:szCs w:val="16"/>
                <w:lang w:val="cs-CZ"/>
              </w:rPr>
              <w:t xml:space="preserve"> </w:t>
            </w:r>
            <w:r w:rsidR="00351B10" w:rsidRPr="00475828">
              <w:rPr>
                <w:rFonts w:cs="Arial"/>
                <w:sz w:val="16"/>
                <w:szCs w:val="16"/>
                <w:lang w:val="cs-CZ"/>
              </w:rPr>
              <w:t xml:space="preserve">podporuje sdílení typu </w:t>
            </w:r>
            <w:proofErr w:type="spellStart"/>
            <w:r w:rsidR="00351B10" w:rsidRPr="00475828">
              <w:rPr>
                <w:rFonts w:cs="Arial"/>
                <w:sz w:val="16"/>
                <w:szCs w:val="16"/>
                <w:lang w:val="cs-CZ"/>
              </w:rPr>
              <w:t>site</w:t>
            </w:r>
            <w:proofErr w:type="spellEnd"/>
            <w:r w:rsidR="00351B10" w:rsidRPr="00475828">
              <w:rPr>
                <w:rFonts w:cs="Arial"/>
                <w:sz w:val="16"/>
                <w:szCs w:val="16"/>
                <w:lang w:val="cs-CZ"/>
              </w:rPr>
              <w:t xml:space="preserve"> </w:t>
            </w:r>
            <w:proofErr w:type="spellStart"/>
            <w:r w:rsidR="00351B10" w:rsidRPr="00475828">
              <w:rPr>
                <w:rFonts w:cs="Arial"/>
                <w:sz w:val="16"/>
                <w:szCs w:val="16"/>
                <w:lang w:val="cs-CZ"/>
              </w:rPr>
              <w:t>shairng</w:t>
            </w:r>
            <w:proofErr w:type="spellEnd"/>
            <w:r w:rsidR="00A163E1">
              <w:rPr>
                <w:rFonts w:cs="Arial"/>
                <w:sz w:val="16"/>
                <w:szCs w:val="16"/>
                <w:lang w:val="cs-CZ"/>
              </w:rPr>
              <w:t xml:space="preserve"> (viz výše)</w:t>
            </w:r>
            <w:r w:rsidR="00351B10" w:rsidRPr="00475828">
              <w:rPr>
                <w:rFonts w:cs="Arial"/>
                <w:sz w:val="16"/>
                <w:szCs w:val="16"/>
                <w:lang w:val="cs-CZ"/>
              </w:rPr>
              <w:t xml:space="preserve">. </w:t>
            </w:r>
          </w:p>
        </w:tc>
      </w:tr>
      <w:tr w:rsidR="009470F3" w:rsidRPr="0016725C" w14:paraId="26EE66F6" w14:textId="77777777" w:rsidTr="00DF7720">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357" w:type="pct"/>
            <w:shd w:val="clear" w:color="auto" w:fill="DAEEF3" w:themeFill="accent5" w:themeFillTint="33"/>
          </w:tcPr>
          <w:p w14:paraId="45314F2B" w14:textId="77777777" w:rsidR="00351B10" w:rsidRPr="00106E53" w:rsidRDefault="00351B10" w:rsidP="00DF4E36">
            <w:pPr>
              <w:keepLines/>
              <w:jc w:val="left"/>
              <w:rPr>
                <w:rFonts w:cs="Arial"/>
                <w:sz w:val="16"/>
                <w:szCs w:val="16"/>
                <w:lang w:val="cs-CZ"/>
              </w:rPr>
            </w:pPr>
            <w:r w:rsidRPr="00106E53">
              <w:rPr>
                <w:rFonts w:cs="Arial"/>
                <w:sz w:val="16"/>
                <w:szCs w:val="16"/>
                <w:lang w:val="cs-CZ"/>
              </w:rPr>
              <w:t>Velká Británie IV</w:t>
            </w:r>
          </w:p>
        </w:tc>
        <w:tc>
          <w:tcPr>
            <w:tcW w:w="138" w:type="pct"/>
            <w:shd w:val="clear" w:color="auto" w:fill="DAEEF3" w:themeFill="accent5" w:themeFillTint="33"/>
          </w:tcPr>
          <w:p w14:paraId="0FB6F253"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sym w:font="Wingdings" w:char="F0FC"/>
            </w:r>
          </w:p>
        </w:tc>
        <w:tc>
          <w:tcPr>
            <w:tcW w:w="138" w:type="pct"/>
            <w:shd w:val="clear" w:color="auto" w:fill="DAEEF3" w:themeFill="accent5" w:themeFillTint="33"/>
          </w:tcPr>
          <w:p w14:paraId="787B1B7D"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sym w:font="Wingdings" w:char="F0FC"/>
            </w:r>
          </w:p>
        </w:tc>
        <w:tc>
          <w:tcPr>
            <w:tcW w:w="689" w:type="pct"/>
            <w:shd w:val="clear" w:color="auto" w:fill="DAEEF3" w:themeFill="accent5" w:themeFillTint="33"/>
          </w:tcPr>
          <w:p w14:paraId="25DA733D"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 xml:space="preserve">O2 </w:t>
            </w:r>
          </w:p>
          <w:p w14:paraId="4883A322"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Vodafone</w:t>
            </w:r>
          </w:p>
        </w:tc>
        <w:tc>
          <w:tcPr>
            <w:tcW w:w="552" w:type="pct"/>
            <w:shd w:val="clear" w:color="auto" w:fill="DAEEF3" w:themeFill="accent5" w:themeFillTint="33"/>
          </w:tcPr>
          <w:p w14:paraId="7D161D20"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 xml:space="preserve">RAN </w:t>
            </w:r>
            <w:proofErr w:type="spellStart"/>
            <w:r w:rsidRPr="00475828">
              <w:rPr>
                <w:rFonts w:cs="Arial"/>
                <w:sz w:val="16"/>
                <w:szCs w:val="16"/>
                <w:lang w:val="cs-CZ"/>
              </w:rPr>
              <w:t>sharing</w:t>
            </w:r>
            <w:proofErr w:type="spellEnd"/>
            <w:r w:rsidRPr="00475828">
              <w:rPr>
                <w:rFonts w:cs="Arial"/>
                <w:sz w:val="16"/>
                <w:szCs w:val="16"/>
                <w:lang w:val="cs-CZ"/>
              </w:rPr>
              <w:t xml:space="preserve">  </w:t>
            </w:r>
          </w:p>
        </w:tc>
        <w:tc>
          <w:tcPr>
            <w:tcW w:w="460" w:type="pct"/>
            <w:shd w:val="clear" w:color="auto" w:fill="DAEEF3" w:themeFill="accent5" w:themeFillTint="33"/>
          </w:tcPr>
          <w:p w14:paraId="5468434B" w14:textId="77777777" w:rsidR="00351B10" w:rsidRPr="00475828" w:rsidRDefault="00A163E1"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Pr>
                <w:rFonts w:cs="Arial"/>
                <w:sz w:val="16"/>
                <w:szCs w:val="16"/>
                <w:lang w:val="cs-CZ"/>
              </w:rPr>
              <w:t xml:space="preserve">Od </w:t>
            </w:r>
            <w:r w:rsidR="00351B10" w:rsidRPr="00475828">
              <w:rPr>
                <w:rFonts w:cs="Arial"/>
                <w:sz w:val="16"/>
                <w:szCs w:val="16"/>
                <w:lang w:val="cs-CZ"/>
              </w:rPr>
              <w:t xml:space="preserve">2009 </w:t>
            </w:r>
          </w:p>
          <w:p w14:paraId="3EEA7906"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p>
          <w:p w14:paraId="4431C0C8" w14:textId="77777777" w:rsidR="00351B10" w:rsidRPr="00475828" w:rsidRDefault="00A163E1"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Pr>
                <w:rFonts w:cs="Arial"/>
                <w:sz w:val="16"/>
                <w:szCs w:val="16"/>
                <w:lang w:val="cs-CZ"/>
              </w:rPr>
              <w:t xml:space="preserve">Od </w:t>
            </w:r>
            <w:r w:rsidR="00351B10" w:rsidRPr="00475828">
              <w:rPr>
                <w:rFonts w:cs="Arial"/>
                <w:sz w:val="16"/>
                <w:szCs w:val="16"/>
                <w:lang w:val="cs-CZ"/>
              </w:rPr>
              <w:t>2014</w:t>
            </w:r>
          </w:p>
        </w:tc>
        <w:tc>
          <w:tcPr>
            <w:tcW w:w="550" w:type="pct"/>
            <w:shd w:val="clear" w:color="auto" w:fill="DAEEF3" w:themeFill="accent5" w:themeFillTint="33"/>
          </w:tcPr>
          <w:p w14:paraId="43BD9E2F" w14:textId="1A706052"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Sdílení infrastruktury a</w:t>
            </w:r>
            <w:r w:rsidR="00AC6783">
              <w:rPr>
                <w:rFonts w:cs="Arial"/>
                <w:sz w:val="16"/>
                <w:szCs w:val="16"/>
                <w:lang w:val="cs-CZ"/>
              </w:rPr>
              <w:t> </w:t>
            </w:r>
            <w:proofErr w:type="spellStart"/>
            <w:r w:rsidRPr="00475828">
              <w:rPr>
                <w:rFonts w:cs="Arial"/>
                <w:sz w:val="16"/>
                <w:szCs w:val="16"/>
                <w:lang w:val="cs-CZ"/>
              </w:rPr>
              <w:t>backhaulu</w:t>
            </w:r>
            <w:proofErr w:type="spellEnd"/>
            <w:r w:rsidRPr="00475828">
              <w:rPr>
                <w:rFonts w:cs="Arial"/>
                <w:sz w:val="16"/>
                <w:szCs w:val="16"/>
                <w:lang w:val="cs-CZ"/>
              </w:rPr>
              <w:t xml:space="preserve"> </w:t>
            </w:r>
          </w:p>
          <w:p w14:paraId="5C6A4FA2"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V roce 2012 byla dohoda rozšířena na sdílení RAN prvků sítí. JV společnost spravuje pasivní infrastrukturu a</w:t>
            </w:r>
            <w:r w:rsidR="00247FC2">
              <w:rPr>
                <w:rFonts w:cs="Arial"/>
                <w:sz w:val="16"/>
                <w:szCs w:val="16"/>
                <w:lang w:val="cs-CZ"/>
              </w:rPr>
              <w:t> </w:t>
            </w:r>
            <w:r w:rsidRPr="00475828">
              <w:rPr>
                <w:rFonts w:cs="Arial"/>
                <w:sz w:val="16"/>
                <w:szCs w:val="16"/>
                <w:lang w:val="cs-CZ"/>
              </w:rPr>
              <w:t>operátoři si samostatně spravují jádro sítě, poskytují služby koncovým zákazníkům. Geografické rozdělení, kdy O2 spravuje sdílenou síť na východě země a Vodafone na západě.</w:t>
            </w:r>
            <w:r w:rsidRPr="00475828">
              <w:rPr>
                <w:rStyle w:val="Znakapoznpodarou"/>
                <w:rFonts w:cs="Arial"/>
                <w:sz w:val="16"/>
                <w:szCs w:val="16"/>
                <w:lang w:val="cs-CZ"/>
              </w:rPr>
              <w:footnoteReference w:id="67"/>
            </w:r>
            <w:r w:rsidRPr="00475828">
              <w:rPr>
                <w:rFonts w:cs="Arial"/>
                <w:sz w:val="16"/>
                <w:szCs w:val="16"/>
                <w:lang w:val="cs-CZ"/>
              </w:rPr>
              <w:t xml:space="preserve"> </w:t>
            </w:r>
            <w:r w:rsidRPr="00475828">
              <w:rPr>
                <w:rStyle w:val="Znakapoznpodarou"/>
                <w:rFonts w:cs="Arial"/>
                <w:sz w:val="16"/>
                <w:szCs w:val="16"/>
                <w:lang w:val="cs-CZ"/>
              </w:rPr>
              <w:footnoteReference w:id="68"/>
            </w:r>
          </w:p>
          <w:p w14:paraId="757DDC87"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p>
          <w:p w14:paraId="78822FB6"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 xml:space="preserve">V roce 2014 se k dohodě připojila společnost </w:t>
            </w:r>
            <w:proofErr w:type="spellStart"/>
            <w:r w:rsidRPr="00475828">
              <w:rPr>
                <w:rFonts w:cs="Arial"/>
                <w:sz w:val="16"/>
                <w:szCs w:val="16"/>
                <w:lang w:val="cs-CZ"/>
              </w:rPr>
              <w:t>Arqiva</w:t>
            </w:r>
            <w:proofErr w:type="spellEnd"/>
            <w:r w:rsidRPr="00475828">
              <w:rPr>
                <w:rFonts w:cs="Arial"/>
                <w:sz w:val="16"/>
                <w:szCs w:val="16"/>
                <w:lang w:val="cs-CZ"/>
              </w:rPr>
              <w:t>.</w:t>
            </w:r>
            <w:r w:rsidRPr="00475828">
              <w:rPr>
                <w:rStyle w:val="Znakapoznpodarou"/>
                <w:rFonts w:cs="Arial"/>
                <w:sz w:val="16"/>
                <w:szCs w:val="16"/>
                <w:lang w:val="cs-CZ"/>
              </w:rPr>
              <w:footnoteReference w:id="69"/>
            </w:r>
          </w:p>
        </w:tc>
        <w:tc>
          <w:tcPr>
            <w:tcW w:w="2116" w:type="pct"/>
            <w:shd w:val="clear" w:color="auto" w:fill="DAEEF3" w:themeFill="accent5" w:themeFillTint="33"/>
          </w:tcPr>
          <w:p w14:paraId="356D3EF2" w14:textId="77777777" w:rsidR="00351B10" w:rsidRPr="00475828" w:rsidRDefault="00A1360F"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Pr>
                <w:rFonts w:cs="Arial"/>
                <w:sz w:val="16"/>
                <w:szCs w:val="16"/>
                <w:lang w:val="cs-CZ"/>
              </w:rPr>
              <w:t>OFCOM</w:t>
            </w:r>
            <w:r w:rsidRPr="00475828">
              <w:rPr>
                <w:rFonts w:cs="Arial"/>
                <w:sz w:val="16"/>
                <w:szCs w:val="16"/>
                <w:lang w:val="cs-CZ"/>
              </w:rPr>
              <w:t xml:space="preserve"> </w:t>
            </w:r>
            <w:r w:rsidR="00351B10" w:rsidRPr="00475828">
              <w:rPr>
                <w:rFonts w:cs="Arial"/>
                <w:sz w:val="16"/>
                <w:szCs w:val="16"/>
                <w:lang w:val="cs-CZ"/>
              </w:rPr>
              <w:t xml:space="preserve">podporuje sdílení typu </w:t>
            </w:r>
            <w:proofErr w:type="spellStart"/>
            <w:r w:rsidR="00351B10" w:rsidRPr="00475828">
              <w:rPr>
                <w:rFonts w:cs="Arial"/>
                <w:sz w:val="16"/>
                <w:szCs w:val="16"/>
                <w:lang w:val="cs-CZ"/>
              </w:rPr>
              <w:t>site</w:t>
            </w:r>
            <w:proofErr w:type="spellEnd"/>
            <w:r w:rsidR="00351B10" w:rsidRPr="00475828">
              <w:rPr>
                <w:rFonts w:cs="Arial"/>
                <w:sz w:val="16"/>
                <w:szCs w:val="16"/>
                <w:lang w:val="cs-CZ"/>
              </w:rPr>
              <w:t xml:space="preserve"> </w:t>
            </w:r>
            <w:proofErr w:type="spellStart"/>
            <w:r w:rsidR="00351B10" w:rsidRPr="00475828">
              <w:rPr>
                <w:rFonts w:cs="Arial"/>
                <w:sz w:val="16"/>
                <w:szCs w:val="16"/>
                <w:lang w:val="cs-CZ"/>
              </w:rPr>
              <w:t>shairng</w:t>
            </w:r>
            <w:proofErr w:type="spellEnd"/>
            <w:r w:rsidR="00A163E1">
              <w:rPr>
                <w:rFonts w:cs="Arial"/>
                <w:sz w:val="16"/>
                <w:szCs w:val="16"/>
                <w:lang w:val="cs-CZ"/>
              </w:rPr>
              <w:t xml:space="preserve"> (viz výše)</w:t>
            </w:r>
            <w:r w:rsidR="00351B10" w:rsidRPr="00475828">
              <w:rPr>
                <w:rFonts w:cs="Arial"/>
                <w:sz w:val="16"/>
                <w:szCs w:val="16"/>
                <w:lang w:val="cs-CZ"/>
              </w:rPr>
              <w:t xml:space="preserve">. </w:t>
            </w:r>
          </w:p>
          <w:p w14:paraId="3B149E0F"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 xml:space="preserve">UK Office </w:t>
            </w:r>
            <w:proofErr w:type="spellStart"/>
            <w:r w:rsidRPr="00475828">
              <w:rPr>
                <w:rFonts w:cs="Arial"/>
                <w:sz w:val="16"/>
                <w:szCs w:val="16"/>
                <w:lang w:val="cs-CZ"/>
              </w:rPr>
              <w:t>for</w:t>
            </w:r>
            <w:proofErr w:type="spellEnd"/>
            <w:r w:rsidRPr="00475828">
              <w:rPr>
                <w:rFonts w:cs="Arial"/>
                <w:sz w:val="16"/>
                <w:szCs w:val="16"/>
                <w:lang w:val="cs-CZ"/>
              </w:rPr>
              <w:t xml:space="preserve"> Fair </w:t>
            </w:r>
            <w:proofErr w:type="spellStart"/>
            <w:r w:rsidRPr="00475828">
              <w:rPr>
                <w:rFonts w:cs="Arial"/>
                <w:sz w:val="16"/>
                <w:szCs w:val="16"/>
                <w:lang w:val="cs-CZ"/>
              </w:rPr>
              <w:t>Trading</w:t>
            </w:r>
            <w:proofErr w:type="spellEnd"/>
            <w:r w:rsidRPr="00475828">
              <w:rPr>
                <w:rFonts w:cs="Arial"/>
                <w:sz w:val="16"/>
                <w:szCs w:val="16"/>
                <w:lang w:val="cs-CZ"/>
              </w:rPr>
              <w:t xml:space="preserve"> (bývalý NCA) schválila dohodu.</w:t>
            </w:r>
            <w:r w:rsidRPr="00475828">
              <w:rPr>
                <w:rStyle w:val="Znakapoznpodarou"/>
                <w:rFonts w:cs="Arial"/>
                <w:sz w:val="16"/>
                <w:szCs w:val="16"/>
                <w:lang w:val="cs-CZ"/>
              </w:rPr>
              <w:footnoteReference w:id="70"/>
            </w:r>
            <w:r w:rsidR="005B32A3">
              <w:rPr>
                <w:rFonts w:cs="Arial"/>
                <w:sz w:val="16"/>
                <w:szCs w:val="16"/>
                <w:vertAlign w:val="superscript"/>
                <w:lang w:val="cs-CZ"/>
              </w:rPr>
              <w:t xml:space="preserve">, </w:t>
            </w:r>
            <w:r w:rsidRPr="00475828">
              <w:rPr>
                <w:rStyle w:val="Znakapoznpodarou"/>
                <w:rFonts w:cs="Arial"/>
                <w:sz w:val="16"/>
                <w:szCs w:val="16"/>
                <w:lang w:val="cs-CZ"/>
              </w:rPr>
              <w:footnoteReference w:id="71"/>
            </w:r>
          </w:p>
          <w:p w14:paraId="21007E9E"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p>
          <w:p w14:paraId="2B062CB8" w14:textId="77777777" w:rsidR="00351B10" w:rsidRPr="00475828" w:rsidRDefault="00351B10" w:rsidP="00DF4E36">
            <w:pPr>
              <w:keepLines/>
              <w:jc w:val="left"/>
              <w:cnfStyle w:val="000000010000" w:firstRow="0" w:lastRow="0" w:firstColumn="0" w:lastColumn="0" w:oddVBand="0" w:evenVBand="0" w:oddHBand="0" w:evenHBand="1" w:firstRowFirstColumn="0" w:firstRowLastColumn="0" w:lastRowFirstColumn="0" w:lastRowLastColumn="0"/>
              <w:rPr>
                <w:rFonts w:cs="Arial"/>
                <w:sz w:val="16"/>
                <w:szCs w:val="16"/>
                <w:lang w:val="cs-CZ"/>
              </w:rPr>
            </w:pPr>
            <w:r w:rsidRPr="00475828">
              <w:rPr>
                <w:rFonts w:cs="Arial"/>
                <w:sz w:val="16"/>
                <w:szCs w:val="16"/>
                <w:lang w:val="cs-CZ"/>
              </w:rPr>
              <w:t xml:space="preserve">V roce 2013 vydala pracovní skupina MOA (Mobile </w:t>
            </w:r>
            <w:proofErr w:type="spellStart"/>
            <w:r w:rsidRPr="00475828">
              <w:rPr>
                <w:rFonts w:cs="Arial"/>
                <w:sz w:val="16"/>
                <w:szCs w:val="16"/>
                <w:lang w:val="cs-CZ"/>
              </w:rPr>
              <w:t>Operators</w:t>
            </w:r>
            <w:proofErr w:type="spellEnd"/>
            <w:r w:rsidRPr="00475828">
              <w:rPr>
                <w:rFonts w:cs="Arial"/>
                <w:sz w:val="16"/>
                <w:szCs w:val="16"/>
                <w:lang w:val="cs-CZ"/>
              </w:rPr>
              <w:t xml:space="preserve"> </w:t>
            </w:r>
            <w:proofErr w:type="spellStart"/>
            <w:r w:rsidRPr="00475828">
              <w:rPr>
                <w:rFonts w:cs="Arial"/>
                <w:sz w:val="16"/>
                <w:szCs w:val="16"/>
                <w:lang w:val="cs-CZ"/>
              </w:rPr>
              <w:t>Association</w:t>
            </w:r>
            <w:proofErr w:type="spellEnd"/>
            <w:r w:rsidRPr="00475828">
              <w:rPr>
                <w:rFonts w:cs="Arial"/>
                <w:sz w:val="16"/>
                <w:szCs w:val="16"/>
                <w:lang w:val="cs-CZ"/>
              </w:rPr>
              <w:t>) „</w:t>
            </w:r>
            <w:proofErr w:type="spellStart"/>
            <w:r w:rsidRPr="00475828">
              <w:rPr>
                <w:rFonts w:cs="Arial"/>
                <w:sz w:val="16"/>
                <w:szCs w:val="16"/>
                <w:lang w:val="cs-CZ"/>
              </w:rPr>
              <w:t>code</w:t>
            </w:r>
            <w:proofErr w:type="spellEnd"/>
            <w:r w:rsidRPr="00475828">
              <w:rPr>
                <w:rFonts w:cs="Arial"/>
                <w:sz w:val="16"/>
                <w:szCs w:val="16"/>
                <w:lang w:val="cs-CZ"/>
              </w:rPr>
              <w:t xml:space="preserve"> </w:t>
            </w:r>
            <w:proofErr w:type="spellStart"/>
            <w:r w:rsidRPr="00475828">
              <w:rPr>
                <w:rFonts w:cs="Arial"/>
                <w:sz w:val="16"/>
                <w:szCs w:val="16"/>
                <w:lang w:val="cs-CZ"/>
              </w:rPr>
              <w:t>of</w:t>
            </w:r>
            <w:proofErr w:type="spellEnd"/>
            <w:r w:rsidRPr="00475828">
              <w:rPr>
                <w:rFonts w:cs="Arial"/>
                <w:sz w:val="16"/>
                <w:szCs w:val="16"/>
                <w:lang w:val="cs-CZ"/>
              </w:rPr>
              <w:t xml:space="preserve"> </w:t>
            </w:r>
            <w:proofErr w:type="spellStart"/>
            <w:r w:rsidRPr="00475828">
              <w:rPr>
                <w:rFonts w:cs="Arial"/>
                <w:sz w:val="16"/>
                <w:szCs w:val="16"/>
                <w:lang w:val="cs-CZ"/>
              </w:rPr>
              <w:t>best</w:t>
            </w:r>
            <w:proofErr w:type="spellEnd"/>
            <w:r w:rsidRPr="00475828">
              <w:rPr>
                <w:rFonts w:cs="Arial"/>
                <w:sz w:val="16"/>
                <w:szCs w:val="16"/>
                <w:lang w:val="cs-CZ"/>
              </w:rPr>
              <w:t xml:space="preserve"> </w:t>
            </w:r>
            <w:proofErr w:type="spellStart"/>
            <w:r w:rsidRPr="00475828">
              <w:rPr>
                <w:rFonts w:cs="Arial"/>
                <w:sz w:val="16"/>
                <w:szCs w:val="16"/>
                <w:lang w:val="cs-CZ"/>
              </w:rPr>
              <w:t>practice</w:t>
            </w:r>
            <w:proofErr w:type="spellEnd"/>
            <w:r w:rsidRPr="00475828">
              <w:rPr>
                <w:rFonts w:cs="Arial"/>
                <w:sz w:val="16"/>
                <w:szCs w:val="16"/>
                <w:lang w:val="cs-CZ"/>
              </w:rPr>
              <w:t>“ k rozvoji mobilního trhu ve Velké Británii, ve kterém podporuje sdílení infrastruktury.</w:t>
            </w:r>
            <w:r w:rsidRPr="00475828">
              <w:rPr>
                <w:rStyle w:val="Znakapoznpodarou"/>
                <w:rFonts w:cs="Arial"/>
                <w:sz w:val="16"/>
                <w:szCs w:val="16"/>
                <w:lang w:val="cs-CZ"/>
              </w:rPr>
              <w:footnoteReference w:id="72"/>
            </w:r>
            <w:r w:rsidRPr="00475828">
              <w:rPr>
                <w:rFonts w:cs="Arial"/>
                <w:sz w:val="16"/>
                <w:szCs w:val="16"/>
                <w:lang w:val="cs-CZ"/>
              </w:rPr>
              <w:t xml:space="preserve"> </w:t>
            </w:r>
          </w:p>
        </w:tc>
      </w:tr>
    </w:tbl>
    <w:p w14:paraId="22F0B639" w14:textId="77777777" w:rsidR="00351B10" w:rsidRPr="00475828" w:rsidRDefault="00351B10" w:rsidP="001D143B">
      <w:pPr>
        <w:pStyle w:val="Nadpis2"/>
        <w:keepLines/>
        <w:ind w:left="360"/>
      </w:pPr>
    </w:p>
    <w:p w14:paraId="078B6DCB" w14:textId="77777777" w:rsidR="00351B10" w:rsidRPr="00475828" w:rsidRDefault="00351B10" w:rsidP="001D143B">
      <w:pPr>
        <w:keepNext/>
        <w:keepLines/>
        <w:rPr>
          <w:lang w:val="cs-CZ"/>
        </w:rPr>
      </w:pPr>
    </w:p>
    <w:p w14:paraId="0AFFCA5C" w14:textId="77777777" w:rsidR="00351B10" w:rsidRPr="00475828" w:rsidRDefault="00351B10" w:rsidP="001D143B">
      <w:pPr>
        <w:keepNext/>
        <w:keepLines/>
        <w:rPr>
          <w:lang w:val="cs-CZ"/>
        </w:rPr>
        <w:sectPr w:rsidR="00351B10" w:rsidRPr="00475828" w:rsidSect="00094B07">
          <w:pgSz w:w="16838" w:h="11906" w:orient="landscape" w:code="9"/>
          <w:pgMar w:top="720" w:right="720" w:bottom="720" w:left="720" w:header="709" w:footer="709" w:gutter="0"/>
          <w:cols w:space="708"/>
          <w:docGrid w:linePitch="360"/>
        </w:sectPr>
      </w:pPr>
    </w:p>
    <w:p w14:paraId="1202D516" w14:textId="77777777" w:rsidR="00BE14E2" w:rsidRPr="00475828" w:rsidRDefault="00EE7426" w:rsidP="001D143B">
      <w:pPr>
        <w:pStyle w:val="Nadpis2"/>
        <w:keepLines/>
        <w:numPr>
          <w:ilvl w:val="1"/>
          <w:numId w:val="3"/>
        </w:numPr>
      </w:pPr>
      <w:bookmarkStart w:id="98" w:name="_Toc301423672"/>
      <w:r w:rsidRPr="00475828">
        <w:t>P</w:t>
      </w:r>
      <w:r w:rsidR="00BE14E2" w:rsidRPr="00475828">
        <w:t>řípadová studie – Francie</w:t>
      </w:r>
      <w:r w:rsidR="00D83C42" w:rsidRPr="00475828">
        <w:t xml:space="preserve">: sdílení </w:t>
      </w:r>
      <w:r w:rsidR="009B0314" w:rsidRPr="00475828">
        <w:t xml:space="preserve">sítí </w:t>
      </w:r>
      <w:r w:rsidR="00D83C42" w:rsidRPr="00475828">
        <w:t>2G, 3G a 4G</w:t>
      </w:r>
      <w:r w:rsidR="00A163E1">
        <w:rPr>
          <w:rStyle w:val="Znakapoznpodarou"/>
        </w:rPr>
        <w:footnoteReference w:id="73"/>
      </w:r>
      <w:bookmarkEnd w:id="98"/>
    </w:p>
    <w:p w14:paraId="11B5602C" w14:textId="77777777" w:rsidR="00944B65" w:rsidRPr="00475828" w:rsidRDefault="00944B65" w:rsidP="001D143B">
      <w:pPr>
        <w:keepNext/>
        <w:keepLines/>
        <w:numPr>
          <w:ilvl w:val="2"/>
          <w:numId w:val="3"/>
        </w:numPr>
        <w:rPr>
          <w:bCs/>
          <w:i/>
          <w:lang w:val="cs-CZ"/>
        </w:rPr>
      </w:pPr>
      <w:r w:rsidRPr="00475828">
        <w:rPr>
          <w:bCs/>
          <w:i/>
          <w:lang w:val="cs-CZ"/>
        </w:rPr>
        <w:t>Shrnutí</w:t>
      </w:r>
      <w:r w:rsidR="00694907" w:rsidRPr="00475828">
        <w:rPr>
          <w:bCs/>
          <w:i/>
          <w:lang w:val="cs-CZ"/>
        </w:rPr>
        <w:t xml:space="preserve"> situace na trhu</w:t>
      </w:r>
    </w:p>
    <w:p w14:paraId="76372DC8" w14:textId="77777777" w:rsidR="00A163E1" w:rsidRDefault="007030DC" w:rsidP="00325101">
      <w:pPr>
        <w:keepNext/>
        <w:keepLines/>
        <w:ind w:firstLine="567"/>
        <w:rPr>
          <w:lang w:val="cs-CZ"/>
        </w:rPr>
      </w:pPr>
      <w:r w:rsidRPr="00475828">
        <w:rPr>
          <w:lang w:val="cs-CZ"/>
        </w:rPr>
        <w:t xml:space="preserve">Sdílení sítí ve Francii je v mnohém podobné </w:t>
      </w:r>
      <w:r w:rsidR="00434105">
        <w:rPr>
          <w:lang w:val="cs-CZ"/>
        </w:rPr>
        <w:t xml:space="preserve">níže </w:t>
      </w:r>
      <w:r w:rsidRPr="00475828">
        <w:rPr>
          <w:lang w:val="cs-CZ"/>
        </w:rPr>
        <w:t>analyzovanému sdílení sítí v České republice</w:t>
      </w:r>
      <w:r w:rsidR="00A163E1">
        <w:rPr>
          <w:rStyle w:val="Znakapoznpodarou"/>
          <w:lang w:val="cs-CZ"/>
        </w:rPr>
        <w:footnoteReference w:id="74"/>
      </w:r>
      <w:r w:rsidRPr="00475828">
        <w:rPr>
          <w:lang w:val="cs-CZ"/>
        </w:rPr>
        <w:t xml:space="preserve">, zejména s ohledem na rozsah sdílení (týká se 2G, 3G i 4G sítí). </w:t>
      </w:r>
    </w:p>
    <w:p w14:paraId="3DE43B88" w14:textId="77777777" w:rsidR="007030DC" w:rsidRPr="00475828" w:rsidRDefault="007030DC" w:rsidP="00325101">
      <w:pPr>
        <w:keepNext/>
        <w:keepLines/>
        <w:ind w:firstLine="567"/>
        <w:rPr>
          <w:lang w:val="cs-CZ"/>
        </w:rPr>
      </w:pPr>
      <w:r w:rsidRPr="00475828">
        <w:rPr>
          <w:lang w:val="cs-CZ"/>
        </w:rPr>
        <w:t>Na</w:t>
      </w:r>
      <w:r w:rsidR="00702809">
        <w:rPr>
          <w:lang w:val="cs-CZ"/>
        </w:rPr>
        <w:t xml:space="preserve"> </w:t>
      </w:r>
      <w:r w:rsidR="00434105">
        <w:rPr>
          <w:lang w:val="cs-CZ"/>
        </w:rPr>
        <w:t>rozdíl od českého případu je nicméně</w:t>
      </w:r>
      <w:r w:rsidRPr="00475828">
        <w:rPr>
          <w:lang w:val="cs-CZ"/>
        </w:rPr>
        <w:t xml:space="preserve"> nutné brát v potaz, že ve Francii působí čtyři </w:t>
      </w:r>
      <w:proofErr w:type="spellStart"/>
      <w:r w:rsidRPr="00475828">
        <w:rPr>
          <w:lang w:val="cs-CZ"/>
        </w:rPr>
        <w:t>MNOs</w:t>
      </w:r>
      <w:proofErr w:type="spellEnd"/>
      <w:r w:rsidRPr="00475828">
        <w:rPr>
          <w:lang w:val="cs-CZ"/>
        </w:rPr>
        <w:t xml:space="preserve">, přičemž zároveň MNO s nejmenším tržním podílem (Free) v současné době stále </w:t>
      </w:r>
      <w:proofErr w:type="spellStart"/>
      <w:r w:rsidRPr="00475828">
        <w:rPr>
          <w:lang w:val="cs-CZ"/>
        </w:rPr>
        <w:t>benefituje</w:t>
      </w:r>
      <w:proofErr w:type="spellEnd"/>
      <w:r w:rsidRPr="00475828">
        <w:rPr>
          <w:lang w:val="cs-CZ"/>
        </w:rPr>
        <w:t xml:space="preserve"> z rozsáhlých dohod o národním roamingu.</w:t>
      </w:r>
      <w:r w:rsidRPr="00475828">
        <w:rPr>
          <w:rStyle w:val="Znakapoznpodarou"/>
          <w:lang w:val="cs-CZ"/>
        </w:rPr>
        <w:footnoteReference w:id="75"/>
      </w:r>
    </w:p>
    <w:p w14:paraId="77CC9D34" w14:textId="77777777" w:rsidR="00F116E0" w:rsidRPr="00475828" w:rsidRDefault="00F116E0" w:rsidP="001D143B">
      <w:pPr>
        <w:keepNext/>
        <w:keepLines/>
        <w:numPr>
          <w:ilvl w:val="2"/>
          <w:numId w:val="3"/>
        </w:numPr>
        <w:rPr>
          <w:bCs/>
          <w:i/>
          <w:lang w:val="cs-CZ"/>
        </w:rPr>
      </w:pPr>
      <w:r w:rsidRPr="00475828">
        <w:rPr>
          <w:bCs/>
          <w:i/>
          <w:lang w:val="cs-CZ"/>
        </w:rPr>
        <w:t>Sdílející operátoři a jejich podíly na trhu</w:t>
      </w:r>
    </w:p>
    <w:p w14:paraId="7FB7DB0F" w14:textId="77777777" w:rsidR="00F116E0" w:rsidRPr="00475828" w:rsidRDefault="00F116E0" w:rsidP="00325101">
      <w:pPr>
        <w:keepNext/>
        <w:keepLines/>
        <w:ind w:firstLine="567"/>
        <w:rPr>
          <w:lang w:val="cs-CZ"/>
        </w:rPr>
      </w:pPr>
      <w:r w:rsidRPr="00475828">
        <w:rPr>
          <w:lang w:val="cs-CZ"/>
        </w:rPr>
        <w:t xml:space="preserve">Ve Francii </w:t>
      </w:r>
      <w:r w:rsidR="00B36DF6" w:rsidRPr="00475828">
        <w:rPr>
          <w:lang w:val="cs-CZ"/>
        </w:rPr>
        <w:t xml:space="preserve">uzavřely dne 31. ledna 2014 smlouvu o sdílení </w:t>
      </w:r>
      <w:r w:rsidR="009B0314" w:rsidRPr="00475828">
        <w:rPr>
          <w:lang w:val="cs-CZ"/>
        </w:rPr>
        <w:t xml:space="preserve">sítí 2G, 3G a 4G </w:t>
      </w:r>
      <w:r w:rsidR="00B36DF6" w:rsidRPr="00475828">
        <w:rPr>
          <w:lang w:val="cs-CZ"/>
        </w:rPr>
        <w:t>společnosti SFR a</w:t>
      </w:r>
      <w:r w:rsidR="00247FC2">
        <w:rPr>
          <w:lang w:val="cs-CZ"/>
        </w:rPr>
        <w:t> </w:t>
      </w:r>
      <w:proofErr w:type="spellStart"/>
      <w:r w:rsidR="00B36DF6" w:rsidRPr="00475828">
        <w:rPr>
          <w:lang w:val="cs-CZ"/>
        </w:rPr>
        <w:t>Bouygues</w:t>
      </w:r>
      <w:proofErr w:type="spellEnd"/>
      <w:r w:rsidR="004713D3" w:rsidRPr="00475828">
        <w:rPr>
          <w:lang w:val="cs-CZ"/>
        </w:rPr>
        <w:t xml:space="preserve"> (v kontextu této kapitoly dále také jen „</w:t>
      </w:r>
      <w:r w:rsidR="004713D3" w:rsidRPr="00475828">
        <w:rPr>
          <w:b/>
          <w:lang w:val="cs-CZ"/>
        </w:rPr>
        <w:t>smlouva o sdílení</w:t>
      </w:r>
      <w:r w:rsidR="004713D3" w:rsidRPr="00475828">
        <w:rPr>
          <w:lang w:val="cs-CZ"/>
        </w:rPr>
        <w:t>“)</w:t>
      </w:r>
      <w:r w:rsidR="00B36DF6" w:rsidRPr="00475828">
        <w:rPr>
          <w:lang w:val="cs-CZ"/>
        </w:rPr>
        <w:t xml:space="preserve">, tedy druhý a třetí největší hráč na mobilním trhu ve Francii. Aktuální informace o podílu jednotlivých společností </w:t>
      </w:r>
      <w:r w:rsidR="00D83C42" w:rsidRPr="00475828">
        <w:rPr>
          <w:lang w:val="cs-CZ"/>
        </w:rPr>
        <w:t>na relevantních trzích nejsou k dispozici – k</w:t>
      </w:r>
      <w:r w:rsidR="004D1796" w:rsidRPr="00475828">
        <w:rPr>
          <w:lang w:val="cs-CZ"/>
        </w:rPr>
        <w:t xml:space="preserve"> 31. </w:t>
      </w:r>
      <w:r w:rsidR="00D83C42" w:rsidRPr="00475828">
        <w:rPr>
          <w:lang w:val="cs-CZ"/>
        </w:rPr>
        <w:t>březnu 2013 měl</w:t>
      </w:r>
      <w:r w:rsidR="004A37F7" w:rsidRPr="00475828">
        <w:rPr>
          <w:lang w:val="cs-CZ"/>
        </w:rPr>
        <w:t>y</w:t>
      </w:r>
      <w:r w:rsidR="00D83C42" w:rsidRPr="00475828">
        <w:rPr>
          <w:lang w:val="cs-CZ"/>
        </w:rPr>
        <w:t xml:space="preserve"> společnost</w:t>
      </w:r>
      <w:r w:rsidR="004A37F7" w:rsidRPr="00475828">
        <w:rPr>
          <w:lang w:val="cs-CZ"/>
        </w:rPr>
        <w:t>i</w:t>
      </w:r>
      <w:r w:rsidR="00D83C42" w:rsidRPr="00475828">
        <w:rPr>
          <w:lang w:val="cs-CZ"/>
        </w:rPr>
        <w:t xml:space="preserve"> SFR a</w:t>
      </w:r>
      <w:r w:rsidR="00247FC2">
        <w:rPr>
          <w:lang w:val="cs-CZ"/>
        </w:rPr>
        <w:t> </w:t>
      </w:r>
      <w:proofErr w:type="spellStart"/>
      <w:r w:rsidR="00D83C42" w:rsidRPr="00475828">
        <w:rPr>
          <w:lang w:val="cs-CZ"/>
        </w:rPr>
        <w:t>Bouygues</w:t>
      </w:r>
      <w:proofErr w:type="spellEnd"/>
      <w:r w:rsidR="00D83C42" w:rsidRPr="00475828">
        <w:rPr>
          <w:lang w:val="cs-CZ"/>
        </w:rPr>
        <w:t xml:space="preserve"> na francouzském mobilním trhu podíly ve výši 26,3 %, resp. 17</w:t>
      </w:r>
      <w:r w:rsidR="004D1796" w:rsidRPr="00475828">
        <w:rPr>
          <w:lang w:val="cs-CZ"/>
        </w:rPr>
        <w:t>,6</w:t>
      </w:r>
      <w:r w:rsidR="00D83C42" w:rsidRPr="00475828">
        <w:rPr>
          <w:lang w:val="cs-CZ"/>
        </w:rPr>
        <w:t xml:space="preserve"> %. Největší hráč na mobilním trhu ve Francii, společnost Orange, měl k</w:t>
      </w:r>
      <w:r w:rsidR="004D1796" w:rsidRPr="00475828">
        <w:rPr>
          <w:lang w:val="cs-CZ"/>
        </w:rPr>
        <w:t xml:space="preserve"> 31. </w:t>
      </w:r>
      <w:r w:rsidR="00D83C42" w:rsidRPr="00475828">
        <w:rPr>
          <w:lang w:val="cs-CZ"/>
        </w:rPr>
        <w:t xml:space="preserve">březnu </w:t>
      </w:r>
      <w:r w:rsidR="004D1796" w:rsidRPr="00475828">
        <w:rPr>
          <w:lang w:val="cs-CZ"/>
        </w:rPr>
        <w:t>2013 podíl 36,4 %.</w:t>
      </w:r>
      <w:r w:rsidR="004D1796" w:rsidRPr="00475828">
        <w:rPr>
          <w:rStyle w:val="Znakapoznpodarou"/>
          <w:lang w:val="cs-CZ"/>
        </w:rPr>
        <w:footnoteReference w:id="76"/>
      </w:r>
    </w:p>
    <w:p w14:paraId="4B5BC25D" w14:textId="77777777" w:rsidR="004D1796" w:rsidRPr="00475828" w:rsidRDefault="004D1796" w:rsidP="00325101">
      <w:pPr>
        <w:keepNext/>
        <w:keepLines/>
        <w:ind w:firstLine="567"/>
        <w:rPr>
          <w:lang w:val="cs-CZ"/>
        </w:rPr>
      </w:pPr>
      <w:r w:rsidRPr="00475828">
        <w:rPr>
          <w:lang w:val="cs-CZ"/>
        </w:rPr>
        <w:t>Ve Francii působí také čtvrtý MNO –</w:t>
      </w:r>
      <w:r w:rsidR="00EE05E7">
        <w:rPr>
          <w:lang w:val="cs-CZ"/>
        </w:rPr>
        <w:t xml:space="preserve"> konkrétně</w:t>
      </w:r>
      <w:r w:rsidRPr="00475828">
        <w:rPr>
          <w:lang w:val="cs-CZ"/>
        </w:rPr>
        <w:t xml:space="preserve"> Free</w:t>
      </w:r>
      <w:r w:rsidR="009B0314" w:rsidRPr="00475828">
        <w:rPr>
          <w:lang w:val="cs-CZ"/>
        </w:rPr>
        <w:t xml:space="preserve"> Mobile</w:t>
      </w:r>
      <w:r w:rsidRPr="00475828">
        <w:rPr>
          <w:lang w:val="cs-CZ"/>
        </w:rPr>
        <w:t xml:space="preserve">, který má podle dostupných údajů nejmenší podíl na trhu. S ohledem na dostupné informace lze nicméně předpokládat, že </w:t>
      </w:r>
      <w:r w:rsidR="009B0314" w:rsidRPr="00475828">
        <w:rPr>
          <w:lang w:val="cs-CZ"/>
        </w:rPr>
        <w:t>od zveřejnění statistiky z března roku 2013 došlo k mírnému nárůstu podílu Free Mobile na</w:t>
      </w:r>
      <w:r w:rsidR="005B6DAB">
        <w:rPr>
          <w:lang w:val="cs-CZ"/>
        </w:rPr>
        <w:t> </w:t>
      </w:r>
      <w:r w:rsidR="009B0314" w:rsidRPr="00475828">
        <w:rPr>
          <w:lang w:val="cs-CZ"/>
        </w:rPr>
        <w:t>francouzském trhu na úkor ostatních operátorů.</w:t>
      </w:r>
      <w:r w:rsidR="009B0314" w:rsidRPr="00475828">
        <w:rPr>
          <w:rStyle w:val="Znakapoznpodarou"/>
          <w:lang w:val="cs-CZ"/>
        </w:rPr>
        <w:footnoteReference w:id="77"/>
      </w:r>
    </w:p>
    <w:p w14:paraId="1A3C43A0" w14:textId="77777777" w:rsidR="004713D3" w:rsidRPr="00475828" w:rsidRDefault="004713D3" w:rsidP="001D143B">
      <w:pPr>
        <w:keepNext/>
        <w:keepLines/>
        <w:numPr>
          <w:ilvl w:val="2"/>
          <w:numId w:val="3"/>
        </w:numPr>
        <w:rPr>
          <w:bCs/>
          <w:i/>
          <w:lang w:val="cs-CZ"/>
        </w:rPr>
      </w:pPr>
      <w:r w:rsidRPr="00475828">
        <w:rPr>
          <w:bCs/>
          <w:i/>
          <w:lang w:val="cs-CZ"/>
        </w:rPr>
        <w:t>Forma sdílení</w:t>
      </w:r>
    </w:p>
    <w:p w14:paraId="14FB22CD" w14:textId="4310766D" w:rsidR="00B136D5" w:rsidRDefault="004713D3" w:rsidP="00325101">
      <w:pPr>
        <w:keepNext/>
        <w:keepLines/>
        <w:ind w:firstLine="567"/>
        <w:rPr>
          <w:lang w:val="cs-CZ"/>
        </w:rPr>
      </w:pPr>
      <w:r w:rsidRPr="00475828">
        <w:rPr>
          <w:lang w:val="cs-CZ"/>
        </w:rPr>
        <w:t xml:space="preserve">Smlouva o sdílení </w:t>
      </w:r>
      <w:r w:rsidR="007C5AF0" w:rsidRPr="00475828">
        <w:rPr>
          <w:lang w:val="cs-CZ"/>
        </w:rPr>
        <w:t xml:space="preserve">se dle rozhodnutí francouzského </w:t>
      </w:r>
      <w:r w:rsidR="00A163E1">
        <w:rPr>
          <w:lang w:val="cs-CZ"/>
        </w:rPr>
        <w:t>NCA</w:t>
      </w:r>
      <w:r w:rsidR="003C28AE" w:rsidRPr="00475828">
        <w:rPr>
          <w:rStyle w:val="Znakapoznpodarou"/>
          <w:lang w:val="cs-CZ"/>
        </w:rPr>
        <w:footnoteReference w:id="78"/>
      </w:r>
      <w:r w:rsidR="007C5AF0" w:rsidRPr="00475828">
        <w:rPr>
          <w:lang w:val="cs-CZ"/>
        </w:rPr>
        <w:t xml:space="preserve">, </w:t>
      </w:r>
      <w:proofErr w:type="spellStart"/>
      <w:r w:rsidR="007C5AF0" w:rsidRPr="00475828">
        <w:rPr>
          <w:lang w:val="cs-CZ"/>
        </w:rPr>
        <w:t>Autorité</w:t>
      </w:r>
      <w:proofErr w:type="spellEnd"/>
      <w:r w:rsidR="007C5AF0" w:rsidRPr="00475828">
        <w:rPr>
          <w:lang w:val="cs-CZ"/>
        </w:rPr>
        <w:t xml:space="preserve"> de la </w:t>
      </w:r>
      <w:proofErr w:type="spellStart"/>
      <w:r w:rsidR="007C5AF0" w:rsidRPr="00475828">
        <w:rPr>
          <w:lang w:val="cs-CZ"/>
        </w:rPr>
        <w:t>concurrence</w:t>
      </w:r>
      <w:proofErr w:type="spellEnd"/>
      <w:r w:rsidR="007C5AF0" w:rsidRPr="00475828">
        <w:rPr>
          <w:lang w:val="cs-CZ"/>
        </w:rPr>
        <w:t xml:space="preserve"> („</w:t>
      </w:r>
      <w:r w:rsidR="007C5AF0" w:rsidRPr="00475828">
        <w:rPr>
          <w:b/>
          <w:lang w:val="cs-CZ"/>
        </w:rPr>
        <w:t>AC</w:t>
      </w:r>
      <w:r w:rsidR="007C5AF0" w:rsidRPr="00475828">
        <w:rPr>
          <w:lang w:val="cs-CZ"/>
        </w:rPr>
        <w:t xml:space="preserve">“), </w:t>
      </w:r>
      <w:r w:rsidR="003C28AE" w:rsidRPr="00475828">
        <w:rPr>
          <w:lang w:val="cs-CZ"/>
        </w:rPr>
        <w:t>dělí na čtyři oblasti: (1) společná právnická osoba (joint venture), na</w:t>
      </w:r>
      <w:r w:rsidR="005B6DAB">
        <w:rPr>
          <w:lang w:val="cs-CZ"/>
        </w:rPr>
        <w:t> </w:t>
      </w:r>
      <w:r w:rsidR="003C28AE" w:rsidRPr="00475828">
        <w:rPr>
          <w:lang w:val="cs-CZ"/>
        </w:rPr>
        <w:t xml:space="preserve">kterou bude převedeno vlastnictví pasivní infrastruktury; (2) </w:t>
      </w:r>
      <w:r w:rsidR="001C58E0" w:rsidRPr="00475828">
        <w:rPr>
          <w:lang w:val="cs-CZ"/>
        </w:rPr>
        <w:t>sdílení aktivníc</w:t>
      </w:r>
      <w:r w:rsidR="00127715">
        <w:rPr>
          <w:lang w:val="cs-CZ"/>
        </w:rPr>
        <w:t xml:space="preserve">h prvků sítě (RAN </w:t>
      </w:r>
      <w:proofErr w:type="spellStart"/>
      <w:r w:rsidR="00127715">
        <w:rPr>
          <w:lang w:val="cs-CZ"/>
        </w:rPr>
        <w:t>sharing</w:t>
      </w:r>
      <w:proofErr w:type="spellEnd"/>
      <w:r w:rsidR="00127715">
        <w:rPr>
          <w:lang w:val="cs-CZ"/>
        </w:rPr>
        <w:t>); (3) </w:t>
      </w:r>
      <w:r w:rsidR="00B759E1" w:rsidRPr="00475828">
        <w:rPr>
          <w:lang w:val="cs-CZ"/>
        </w:rPr>
        <w:t>možné sdílení frekvencí v pásmu 800 MHz ve venkovských oblastech; a (4) dočasný národní roaming na 4G</w:t>
      </w:r>
      <w:r w:rsidR="007779D6" w:rsidRPr="00475828">
        <w:rPr>
          <w:lang w:val="cs-CZ"/>
        </w:rPr>
        <w:t xml:space="preserve"> (poskytovaný společností </w:t>
      </w:r>
      <w:proofErr w:type="spellStart"/>
      <w:r w:rsidR="007779D6" w:rsidRPr="00475828">
        <w:rPr>
          <w:lang w:val="cs-CZ"/>
        </w:rPr>
        <w:t>Bouygues</w:t>
      </w:r>
      <w:proofErr w:type="spellEnd"/>
      <w:r w:rsidR="007779D6" w:rsidRPr="00475828">
        <w:rPr>
          <w:lang w:val="cs-CZ"/>
        </w:rPr>
        <w:t xml:space="preserve"> společnosti SFR)</w:t>
      </w:r>
      <w:r w:rsidR="00B759E1" w:rsidRPr="00475828">
        <w:rPr>
          <w:lang w:val="cs-CZ"/>
        </w:rPr>
        <w:t>.</w:t>
      </w:r>
    </w:p>
    <w:p w14:paraId="0172C581" w14:textId="77777777" w:rsidR="00B136D5" w:rsidRDefault="00B136D5">
      <w:pPr>
        <w:spacing w:before="0" w:after="0" w:line="240" w:lineRule="auto"/>
        <w:jc w:val="left"/>
        <w:rPr>
          <w:lang w:val="cs-CZ"/>
        </w:rPr>
      </w:pPr>
      <w:r>
        <w:rPr>
          <w:lang w:val="cs-CZ"/>
        </w:rPr>
        <w:br w:type="page"/>
      </w:r>
    </w:p>
    <w:p w14:paraId="2B0F8DBA" w14:textId="77777777" w:rsidR="007779D6" w:rsidRPr="00475828" w:rsidRDefault="007779D6" w:rsidP="001D143B">
      <w:pPr>
        <w:keepNext/>
        <w:keepLines/>
        <w:numPr>
          <w:ilvl w:val="0"/>
          <w:numId w:val="6"/>
        </w:numPr>
        <w:rPr>
          <w:i/>
          <w:lang w:val="cs-CZ"/>
        </w:rPr>
      </w:pPr>
      <w:r w:rsidRPr="00475828">
        <w:rPr>
          <w:i/>
          <w:lang w:val="cs-CZ"/>
        </w:rPr>
        <w:t>Joint venture pro pasivní infrastrukturu</w:t>
      </w:r>
    </w:p>
    <w:p w14:paraId="0EBCE454" w14:textId="77777777" w:rsidR="007779D6" w:rsidRPr="00475828" w:rsidRDefault="007779D6" w:rsidP="00325101">
      <w:pPr>
        <w:keepLines/>
        <w:ind w:firstLine="567"/>
        <w:rPr>
          <w:lang w:val="cs-CZ"/>
        </w:rPr>
      </w:pPr>
      <w:r w:rsidRPr="00475828">
        <w:rPr>
          <w:lang w:val="cs-CZ"/>
        </w:rPr>
        <w:t xml:space="preserve">Společnosti SFR a </w:t>
      </w:r>
      <w:proofErr w:type="spellStart"/>
      <w:r w:rsidRPr="00475828">
        <w:rPr>
          <w:lang w:val="cs-CZ"/>
        </w:rPr>
        <w:t>Bouygues</w:t>
      </w:r>
      <w:proofErr w:type="spellEnd"/>
      <w:r w:rsidRPr="00475828">
        <w:rPr>
          <w:lang w:val="cs-CZ"/>
        </w:rPr>
        <w:t xml:space="preserve"> </w:t>
      </w:r>
      <w:r w:rsidR="00C16ED7" w:rsidRPr="00475828">
        <w:rPr>
          <w:lang w:val="cs-CZ"/>
        </w:rPr>
        <w:t xml:space="preserve">dle smlouvy o sdílení </w:t>
      </w:r>
      <w:r w:rsidRPr="00475828">
        <w:rPr>
          <w:lang w:val="cs-CZ"/>
        </w:rPr>
        <w:t xml:space="preserve">vytvoří </w:t>
      </w:r>
      <w:r w:rsidR="007E06D7" w:rsidRPr="00475828">
        <w:rPr>
          <w:lang w:val="cs-CZ"/>
        </w:rPr>
        <w:t xml:space="preserve">joint venture společnost </w:t>
      </w:r>
      <w:proofErr w:type="spellStart"/>
      <w:r w:rsidR="007E06D7" w:rsidRPr="00475828">
        <w:rPr>
          <w:lang w:val="cs-CZ"/>
        </w:rPr>
        <w:t>Infracos</w:t>
      </w:r>
      <w:proofErr w:type="spellEnd"/>
      <w:r w:rsidR="007E06D7" w:rsidRPr="00475828">
        <w:rPr>
          <w:lang w:val="cs-CZ"/>
        </w:rPr>
        <w:t xml:space="preserve">, ve které </w:t>
      </w:r>
      <w:r w:rsidR="00EE05E7" w:rsidRPr="00475828">
        <w:rPr>
          <w:lang w:val="cs-CZ"/>
        </w:rPr>
        <w:t>bud</w:t>
      </w:r>
      <w:r w:rsidR="00EE05E7">
        <w:rPr>
          <w:lang w:val="cs-CZ"/>
        </w:rPr>
        <w:t>e</w:t>
      </w:r>
      <w:r w:rsidR="00EE05E7" w:rsidRPr="00475828">
        <w:rPr>
          <w:lang w:val="cs-CZ"/>
        </w:rPr>
        <w:t xml:space="preserve"> </w:t>
      </w:r>
      <w:r w:rsidR="007E06D7" w:rsidRPr="00475828">
        <w:rPr>
          <w:lang w:val="cs-CZ"/>
        </w:rPr>
        <w:t>mít každá</w:t>
      </w:r>
      <w:r w:rsidR="00EE05E7">
        <w:rPr>
          <w:lang w:val="cs-CZ"/>
        </w:rPr>
        <w:t xml:space="preserve"> z nich</w:t>
      </w:r>
      <w:r w:rsidR="007E06D7" w:rsidRPr="00475828">
        <w:rPr>
          <w:lang w:val="cs-CZ"/>
        </w:rPr>
        <w:t xml:space="preserve"> 50% kapitálovou účast a které přenechají svou pasivní infrastrukturu (s výjimkou stožárů a nájemních smluv k příslušným pozemkům)</w:t>
      </w:r>
      <w:r w:rsidR="00C16ED7" w:rsidRPr="00475828">
        <w:rPr>
          <w:lang w:val="cs-CZ"/>
        </w:rPr>
        <w:t>. Vložením dvou původně nezávislých pasivních infrastruktur do jedné společnosti m</w:t>
      </w:r>
      <w:r w:rsidR="00EE05E7">
        <w:rPr>
          <w:lang w:val="cs-CZ"/>
        </w:rPr>
        <w:t>ůže dojít k tomu, že některé</w:t>
      </w:r>
      <w:r w:rsidR="00C16ED7" w:rsidRPr="00475828">
        <w:rPr>
          <w:lang w:val="cs-CZ"/>
        </w:rPr>
        <w:t xml:space="preserve"> prvky budou pro </w:t>
      </w:r>
      <w:r w:rsidR="004A262C" w:rsidRPr="00475828">
        <w:rPr>
          <w:lang w:val="cs-CZ"/>
        </w:rPr>
        <w:t>nov</w:t>
      </w:r>
      <w:r w:rsidR="004A262C">
        <w:rPr>
          <w:lang w:val="cs-CZ"/>
        </w:rPr>
        <w:t>ou</w:t>
      </w:r>
      <w:r w:rsidR="004A262C" w:rsidRPr="00475828">
        <w:rPr>
          <w:lang w:val="cs-CZ"/>
        </w:rPr>
        <w:t xml:space="preserve"> </w:t>
      </w:r>
      <w:r w:rsidR="00C16ED7" w:rsidRPr="00475828">
        <w:rPr>
          <w:lang w:val="cs-CZ"/>
        </w:rPr>
        <w:t>joint venture</w:t>
      </w:r>
      <w:r w:rsidR="004A262C">
        <w:rPr>
          <w:lang w:val="cs-CZ"/>
        </w:rPr>
        <w:t xml:space="preserve"> společnost</w:t>
      </w:r>
      <w:r w:rsidR="00C16ED7" w:rsidRPr="00475828">
        <w:rPr>
          <w:lang w:val="cs-CZ"/>
        </w:rPr>
        <w:t xml:space="preserve"> nadbytečné</w:t>
      </w:r>
      <w:r w:rsidR="00EE05E7">
        <w:rPr>
          <w:lang w:val="cs-CZ"/>
        </w:rPr>
        <w:t>.</w:t>
      </w:r>
      <w:r w:rsidR="00C16ED7" w:rsidRPr="00475828">
        <w:rPr>
          <w:lang w:val="cs-CZ"/>
        </w:rPr>
        <w:t xml:space="preserve"> </w:t>
      </w:r>
      <w:r w:rsidR="00EE05E7">
        <w:rPr>
          <w:lang w:val="cs-CZ"/>
        </w:rPr>
        <w:t>T</w:t>
      </w:r>
      <w:r w:rsidR="00EE05E7" w:rsidRPr="00475828">
        <w:rPr>
          <w:lang w:val="cs-CZ"/>
        </w:rPr>
        <w:t xml:space="preserve">akové </w:t>
      </w:r>
      <w:r w:rsidR="00C16ED7" w:rsidRPr="00475828">
        <w:rPr>
          <w:lang w:val="cs-CZ"/>
        </w:rPr>
        <w:t xml:space="preserve">prvky se společnosti zavazují nabídnout jiným operátorům, dle vyjádření společnosti </w:t>
      </w:r>
      <w:proofErr w:type="spellStart"/>
      <w:r w:rsidR="00C16ED7" w:rsidRPr="00475828">
        <w:rPr>
          <w:lang w:val="cs-CZ"/>
        </w:rPr>
        <w:t>Bouygues</w:t>
      </w:r>
      <w:proofErr w:type="spellEnd"/>
      <w:r w:rsidR="00C16ED7" w:rsidRPr="00475828">
        <w:rPr>
          <w:lang w:val="cs-CZ"/>
        </w:rPr>
        <w:t xml:space="preserve"> zejména společnosti Free Mobile. </w:t>
      </w:r>
      <w:r w:rsidR="00EE05E7">
        <w:rPr>
          <w:lang w:val="cs-CZ"/>
        </w:rPr>
        <w:t>Pro tyto účely b</w:t>
      </w:r>
      <w:r w:rsidR="00C16ED7" w:rsidRPr="00475828">
        <w:rPr>
          <w:lang w:val="cs-CZ"/>
        </w:rPr>
        <w:t>ude sestaven seznam nepotřebných pasivních prvků</w:t>
      </w:r>
      <w:r w:rsidR="00EE05E7">
        <w:rPr>
          <w:lang w:val="cs-CZ"/>
        </w:rPr>
        <w:t>,</w:t>
      </w:r>
      <w:r w:rsidR="00C16ED7" w:rsidRPr="00475828">
        <w:rPr>
          <w:lang w:val="cs-CZ"/>
        </w:rPr>
        <w:t xml:space="preserve"> </w:t>
      </w:r>
      <w:r w:rsidR="00EE05E7">
        <w:rPr>
          <w:lang w:val="cs-CZ"/>
        </w:rPr>
        <w:t>které</w:t>
      </w:r>
      <w:r w:rsidR="00C16ED7" w:rsidRPr="00475828">
        <w:rPr>
          <w:lang w:val="cs-CZ"/>
        </w:rPr>
        <w:t xml:space="preserve"> budou poté nabídnuty ostatním operátorům</w:t>
      </w:r>
      <w:r w:rsidR="00EE05E7">
        <w:rPr>
          <w:lang w:val="cs-CZ"/>
        </w:rPr>
        <w:t>.</w:t>
      </w:r>
      <w:r w:rsidR="00C16ED7" w:rsidRPr="00475828">
        <w:rPr>
          <w:lang w:val="cs-CZ"/>
        </w:rPr>
        <w:t xml:space="preserve"> </w:t>
      </w:r>
      <w:r w:rsidR="00EE05E7">
        <w:rPr>
          <w:lang w:val="cs-CZ"/>
        </w:rPr>
        <w:t>T</w:t>
      </w:r>
      <w:r w:rsidR="00C16ED7" w:rsidRPr="00475828">
        <w:rPr>
          <w:lang w:val="cs-CZ"/>
        </w:rPr>
        <w:t xml:space="preserve">eprve pokud nikdo z operátorů o prvek pasivní infrastruktury neprojeví zájem, bude takový </w:t>
      </w:r>
      <w:r w:rsidR="00A1489D" w:rsidRPr="00475828">
        <w:rPr>
          <w:lang w:val="cs-CZ"/>
        </w:rPr>
        <w:t xml:space="preserve">nevyužitý </w:t>
      </w:r>
      <w:r w:rsidR="00C16ED7" w:rsidRPr="00475828">
        <w:rPr>
          <w:lang w:val="cs-CZ"/>
        </w:rPr>
        <w:t xml:space="preserve">prvek společností </w:t>
      </w:r>
      <w:proofErr w:type="spellStart"/>
      <w:r w:rsidR="00C16ED7" w:rsidRPr="00475828">
        <w:rPr>
          <w:lang w:val="cs-CZ"/>
        </w:rPr>
        <w:t>Infracos</w:t>
      </w:r>
      <w:proofErr w:type="spellEnd"/>
      <w:r w:rsidR="00C16ED7" w:rsidRPr="00475828">
        <w:rPr>
          <w:lang w:val="cs-CZ"/>
        </w:rPr>
        <w:t xml:space="preserve"> zcela odstraněn.</w:t>
      </w:r>
    </w:p>
    <w:p w14:paraId="7F901BA1" w14:textId="77777777" w:rsidR="00A1489D" w:rsidRPr="00475828" w:rsidRDefault="00A1489D" w:rsidP="005916AF">
      <w:pPr>
        <w:numPr>
          <w:ilvl w:val="0"/>
          <w:numId w:val="6"/>
        </w:numPr>
        <w:rPr>
          <w:i/>
          <w:lang w:val="cs-CZ"/>
        </w:rPr>
      </w:pPr>
      <w:r w:rsidRPr="00475828">
        <w:rPr>
          <w:i/>
          <w:lang w:val="cs-CZ"/>
        </w:rPr>
        <w:t xml:space="preserve">RAN </w:t>
      </w:r>
      <w:proofErr w:type="spellStart"/>
      <w:r w:rsidRPr="00475828">
        <w:rPr>
          <w:i/>
          <w:lang w:val="cs-CZ"/>
        </w:rPr>
        <w:t>sharing</w:t>
      </w:r>
      <w:proofErr w:type="spellEnd"/>
    </w:p>
    <w:p w14:paraId="5680DF05" w14:textId="77777777" w:rsidR="00A1489D" w:rsidRPr="00475828" w:rsidRDefault="008D2ED9" w:rsidP="005916AF">
      <w:pPr>
        <w:ind w:firstLine="567"/>
        <w:rPr>
          <w:lang w:val="cs-CZ"/>
        </w:rPr>
      </w:pPr>
      <w:r w:rsidRPr="00475828">
        <w:rPr>
          <w:lang w:val="cs-CZ"/>
        </w:rPr>
        <w:t xml:space="preserve">Z rozhodnutí AC lze </w:t>
      </w:r>
      <w:r w:rsidR="00146FDA" w:rsidRPr="00475828">
        <w:rPr>
          <w:lang w:val="cs-CZ"/>
        </w:rPr>
        <w:t>o</w:t>
      </w:r>
      <w:r w:rsidRPr="00475828">
        <w:rPr>
          <w:lang w:val="cs-CZ"/>
        </w:rPr>
        <w:t>d</w:t>
      </w:r>
      <w:r w:rsidR="00146FDA" w:rsidRPr="00475828">
        <w:rPr>
          <w:lang w:val="cs-CZ"/>
        </w:rPr>
        <w:t>vodit, že sítě 2G, 3G a 4G budou pravděpodobně sdíleny ve</w:t>
      </w:r>
      <w:r w:rsidR="005B6DAB">
        <w:rPr>
          <w:lang w:val="cs-CZ"/>
        </w:rPr>
        <w:t> </w:t>
      </w:r>
      <w:r w:rsidR="00146FDA" w:rsidRPr="00475828">
        <w:rPr>
          <w:lang w:val="cs-CZ"/>
        </w:rPr>
        <w:t xml:space="preserve">formě MORAN. Služby RAN </w:t>
      </w:r>
      <w:proofErr w:type="spellStart"/>
      <w:r w:rsidR="00146FDA" w:rsidRPr="00475828">
        <w:rPr>
          <w:lang w:val="cs-CZ"/>
        </w:rPr>
        <w:t>sharingu</w:t>
      </w:r>
      <w:proofErr w:type="spellEnd"/>
      <w:r w:rsidR="00146FDA" w:rsidRPr="00475828">
        <w:rPr>
          <w:lang w:val="cs-CZ"/>
        </w:rPr>
        <w:t xml:space="preserve"> budou poskytovány na základě reciprocity, </w:t>
      </w:r>
      <w:r w:rsidR="00B67A25" w:rsidRPr="00475828">
        <w:rPr>
          <w:lang w:val="cs-CZ"/>
        </w:rPr>
        <w:t>každý operátor bude odpovědný za svou část sítě dle následujícího schématu:</w:t>
      </w:r>
    </w:p>
    <w:p w14:paraId="28F897DD" w14:textId="77777777" w:rsidR="00B67A25" w:rsidRPr="00475828" w:rsidRDefault="00B67A25" w:rsidP="005916AF">
      <w:pPr>
        <w:jc w:val="center"/>
        <w:rPr>
          <w:lang w:val="cs-CZ"/>
        </w:rPr>
      </w:pPr>
      <w:r w:rsidRPr="00475828">
        <w:rPr>
          <w:noProof/>
          <w:lang w:val="cs-CZ" w:eastAsia="cs-CZ"/>
        </w:rPr>
        <w:drawing>
          <wp:inline distT="0" distB="0" distL="0" distR="0" wp14:anchorId="01758310" wp14:editId="1431B7C9">
            <wp:extent cx="3828555" cy="3705561"/>
            <wp:effectExtent l="19050" t="0" r="495" b="0"/>
            <wp:docPr id="1" name="obrázek 1" descr="http://static.pcinpact.com/images/bd/news/1438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pcinpact.com/images/bd/news/143877.png"/>
                    <pic:cNvPicPr>
                      <a:picLocks noChangeAspect="1" noChangeArrowheads="1"/>
                    </pic:cNvPicPr>
                  </pic:nvPicPr>
                  <pic:blipFill>
                    <a:blip r:embed="rId13" cstate="print"/>
                    <a:srcRect/>
                    <a:stretch>
                      <a:fillRect/>
                    </a:stretch>
                  </pic:blipFill>
                  <pic:spPr bwMode="auto">
                    <a:xfrm>
                      <a:off x="0" y="0"/>
                      <a:ext cx="3830730" cy="3707666"/>
                    </a:xfrm>
                    <a:prstGeom prst="rect">
                      <a:avLst/>
                    </a:prstGeom>
                    <a:noFill/>
                    <a:ln w="9525">
                      <a:noFill/>
                      <a:miter lim="800000"/>
                      <a:headEnd/>
                      <a:tailEnd/>
                    </a:ln>
                  </pic:spPr>
                </pic:pic>
              </a:graphicData>
            </a:graphic>
          </wp:inline>
        </w:drawing>
      </w:r>
    </w:p>
    <w:p w14:paraId="63E6B2FA" w14:textId="77777777" w:rsidR="00211DE8" w:rsidRPr="00475828" w:rsidRDefault="00211DE8" w:rsidP="005916AF">
      <w:pPr>
        <w:jc w:val="left"/>
        <w:rPr>
          <w:i/>
          <w:lang w:val="cs-CZ"/>
        </w:rPr>
      </w:pPr>
      <w:r w:rsidRPr="00475828">
        <w:rPr>
          <w:i/>
          <w:lang w:val="cs-CZ"/>
        </w:rPr>
        <w:t>Obrázek 1.1</w:t>
      </w:r>
    </w:p>
    <w:p w14:paraId="246D1BC8" w14:textId="77777777" w:rsidR="000C3954" w:rsidRPr="00475828" w:rsidRDefault="005F7500" w:rsidP="005916AF">
      <w:pPr>
        <w:jc w:val="left"/>
        <w:rPr>
          <w:i/>
          <w:lang w:val="cs-CZ"/>
        </w:rPr>
      </w:pPr>
      <w:r w:rsidRPr="00475828">
        <w:rPr>
          <w:i/>
          <w:lang w:val="cs-CZ"/>
        </w:rPr>
        <w:t>(</w:t>
      </w:r>
      <w:r w:rsidR="000C3954" w:rsidRPr="00475828">
        <w:rPr>
          <w:i/>
          <w:lang w:val="cs-CZ"/>
        </w:rPr>
        <w:t xml:space="preserve">Zdroj: </w:t>
      </w:r>
      <w:r w:rsidR="000C3954" w:rsidRPr="005B32A3">
        <w:rPr>
          <w:i/>
          <w:lang w:val="cs-CZ"/>
        </w:rPr>
        <w:t>http://www.nextinpact.com/news/87344-orange-attaque-accord-mutualisation-reseaux-bouygues-et-sfr.htm</w:t>
      </w:r>
      <w:r w:rsidRPr="00475828">
        <w:rPr>
          <w:i/>
          <w:lang w:val="cs-CZ"/>
        </w:rPr>
        <w:t>)</w:t>
      </w:r>
    </w:p>
    <w:p w14:paraId="08CF7DE8" w14:textId="77777777" w:rsidR="005916AF" w:rsidRDefault="00B67A25" w:rsidP="005916AF">
      <w:pPr>
        <w:ind w:firstLine="567"/>
        <w:rPr>
          <w:lang w:val="cs-CZ"/>
        </w:rPr>
      </w:pPr>
      <w:r w:rsidRPr="00475828">
        <w:rPr>
          <w:lang w:val="cs-CZ"/>
        </w:rPr>
        <w:t xml:space="preserve">Modré zóny jsou zóny, které má ve své správě společnost </w:t>
      </w:r>
      <w:proofErr w:type="spellStart"/>
      <w:r w:rsidRPr="00475828">
        <w:rPr>
          <w:lang w:val="cs-CZ"/>
        </w:rPr>
        <w:t>Bouygues</w:t>
      </w:r>
      <w:proofErr w:type="spellEnd"/>
      <w:r w:rsidRPr="00475828">
        <w:rPr>
          <w:lang w:val="cs-CZ"/>
        </w:rPr>
        <w:t>, červené má ve</w:t>
      </w:r>
      <w:r w:rsidR="005B6DAB">
        <w:rPr>
          <w:lang w:val="cs-CZ"/>
        </w:rPr>
        <w:t> </w:t>
      </w:r>
      <w:r w:rsidRPr="00475828">
        <w:rPr>
          <w:lang w:val="cs-CZ"/>
        </w:rPr>
        <w:t>své správě společnost SFR. Šedé zóny představují hustě osídlené oblasti, které jsou ze</w:t>
      </w:r>
      <w:r w:rsidR="005B6DAB">
        <w:rPr>
          <w:lang w:val="cs-CZ"/>
        </w:rPr>
        <w:t> </w:t>
      </w:r>
      <w:r w:rsidRPr="00475828">
        <w:rPr>
          <w:lang w:val="cs-CZ"/>
        </w:rPr>
        <w:t>sdílení vyloučeny.</w:t>
      </w:r>
      <w:r w:rsidR="001A1791" w:rsidRPr="00475828">
        <w:rPr>
          <w:lang w:val="cs-CZ"/>
        </w:rPr>
        <w:t xml:space="preserve"> Území, na kterém budou sítě sdíleny, zahrnuje 57 % obyvatel Francie. </w:t>
      </w:r>
    </w:p>
    <w:p w14:paraId="1B1DF43E" w14:textId="77777777" w:rsidR="005916AF" w:rsidRDefault="005916AF">
      <w:pPr>
        <w:spacing w:before="0" w:after="0" w:line="240" w:lineRule="auto"/>
        <w:jc w:val="left"/>
        <w:rPr>
          <w:lang w:val="cs-CZ"/>
        </w:rPr>
      </w:pPr>
      <w:r>
        <w:rPr>
          <w:lang w:val="cs-CZ"/>
        </w:rPr>
        <w:br w:type="page"/>
      </w:r>
    </w:p>
    <w:p w14:paraId="672FA286" w14:textId="77777777" w:rsidR="008D58F4" w:rsidRPr="00475828" w:rsidRDefault="008D58F4" w:rsidP="005916AF">
      <w:pPr>
        <w:numPr>
          <w:ilvl w:val="0"/>
          <w:numId w:val="6"/>
        </w:numPr>
        <w:rPr>
          <w:i/>
          <w:lang w:val="cs-CZ"/>
        </w:rPr>
      </w:pPr>
      <w:r w:rsidRPr="00475828">
        <w:rPr>
          <w:i/>
          <w:lang w:val="cs-CZ"/>
        </w:rPr>
        <w:t>Sdílení frekvencí v pásmu 800 MHz</w:t>
      </w:r>
    </w:p>
    <w:p w14:paraId="297ACAC5" w14:textId="77777777" w:rsidR="008D58F4" w:rsidRPr="00475828" w:rsidRDefault="00DE4CC6" w:rsidP="005916AF">
      <w:pPr>
        <w:ind w:firstLine="567"/>
        <w:rPr>
          <w:lang w:val="cs-CZ"/>
        </w:rPr>
      </w:pPr>
      <w:r w:rsidRPr="00475828">
        <w:rPr>
          <w:lang w:val="cs-CZ"/>
        </w:rPr>
        <w:t xml:space="preserve">Pásmo 800 MHz je rozhodnutím ARCEP určeno pro provozování LTE. </w:t>
      </w:r>
      <w:r w:rsidR="008D58F4" w:rsidRPr="00475828">
        <w:rPr>
          <w:lang w:val="cs-CZ"/>
        </w:rPr>
        <w:t xml:space="preserve">Dle smlouvy mohou společnost také začít sdílet frekvence v pásmu 800 MHz, a to ve venkovských oblastech. Při jednání s ARCEP strany upřesnily, že jde o sdílení, které by začalo fungovat nejdříve v průběhu roku 2016. </w:t>
      </w:r>
      <w:r w:rsidR="00EE05E7">
        <w:rPr>
          <w:lang w:val="cs-CZ"/>
        </w:rPr>
        <w:t>S</w:t>
      </w:r>
      <w:r w:rsidR="008D58F4" w:rsidRPr="00475828">
        <w:rPr>
          <w:lang w:val="cs-CZ"/>
        </w:rPr>
        <w:t>dílení podléhá předchozímu schválení ze strany ARCEP</w:t>
      </w:r>
      <w:r w:rsidR="00211DE8" w:rsidRPr="00475828">
        <w:rPr>
          <w:lang w:val="cs-CZ"/>
        </w:rPr>
        <w:t>.</w:t>
      </w:r>
    </w:p>
    <w:p w14:paraId="66C1A41B" w14:textId="77777777" w:rsidR="00211DE8" w:rsidRPr="00475828" w:rsidRDefault="00211DE8" w:rsidP="005916AF">
      <w:pPr>
        <w:numPr>
          <w:ilvl w:val="0"/>
          <w:numId w:val="6"/>
        </w:numPr>
        <w:rPr>
          <w:i/>
          <w:lang w:val="cs-CZ"/>
        </w:rPr>
      </w:pPr>
      <w:r w:rsidRPr="00475828">
        <w:rPr>
          <w:i/>
          <w:lang w:val="cs-CZ"/>
        </w:rPr>
        <w:t>Národní roaming na 4G</w:t>
      </w:r>
    </w:p>
    <w:p w14:paraId="2DC19705" w14:textId="77777777" w:rsidR="00211DE8" w:rsidRPr="00475828" w:rsidRDefault="00211DE8" w:rsidP="005916AF">
      <w:pPr>
        <w:ind w:firstLine="567"/>
        <w:rPr>
          <w:lang w:val="cs-CZ"/>
        </w:rPr>
      </w:pPr>
      <w:r w:rsidRPr="00475828">
        <w:rPr>
          <w:lang w:val="cs-CZ"/>
        </w:rPr>
        <w:t xml:space="preserve">Na základě smlouvy o sdílení by společnost </w:t>
      </w:r>
      <w:proofErr w:type="spellStart"/>
      <w:r w:rsidRPr="00475828">
        <w:rPr>
          <w:lang w:val="cs-CZ"/>
        </w:rPr>
        <w:t>Bouygues</w:t>
      </w:r>
      <w:proofErr w:type="spellEnd"/>
      <w:r w:rsidRPr="00475828">
        <w:rPr>
          <w:lang w:val="cs-CZ"/>
        </w:rPr>
        <w:t xml:space="preserve"> měla poskytnout služby národního roamingu na 4G společnosti SFR. Jde o dočasné uspořádání vzájemných vztahů, které by mělo být postupně utlumováno v závislosti na </w:t>
      </w:r>
      <w:proofErr w:type="spellStart"/>
      <w:r w:rsidRPr="00475828">
        <w:rPr>
          <w:lang w:val="cs-CZ"/>
        </w:rPr>
        <w:t>roll-outu</w:t>
      </w:r>
      <w:proofErr w:type="spellEnd"/>
      <w:r w:rsidRPr="00475828">
        <w:rPr>
          <w:lang w:val="cs-CZ"/>
        </w:rPr>
        <w:t xml:space="preserve"> sítí ve správě stran smlouvy a</w:t>
      </w:r>
      <w:r w:rsidR="005B6DAB">
        <w:rPr>
          <w:lang w:val="cs-CZ"/>
        </w:rPr>
        <w:t> </w:t>
      </w:r>
      <w:r w:rsidRPr="00475828">
        <w:rPr>
          <w:lang w:val="cs-CZ"/>
        </w:rPr>
        <w:t xml:space="preserve">mělo by definitivně skončit 31. prosince 2016. V případě prodlev </w:t>
      </w:r>
      <w:proofErr w:type="spellStart"/>
      <w:r w:rsidRPr="00475828">
        <w:rPr>
          <w:lang w:val="cs-CZ"/>
        </w:rPr>
        <w:t>roll-outu</w:t>
      </w:r>
      <w:proofErr w:type="spellEnd"/>
      <w:r w:rsidRPr="00475828">
        <w:rPr>
          <w:lang w:val="cs-CZ"/>
        </w:rPr>
        <w:t xml:space="preserve"> je možné operativní prodloužení trvání národního roamingu na 4G. Národní roaming na 4G se dle rozhodnutí ARCEP nedotýká šedých zón (viz obrázek 1.1 výše).</w:t>
      </w:r>
    </w:p>
    <w:p w14:paraId="76CB7447" w14:textId="77777777" w:rsidR="004713D3" w:rsidRPr="00475828" w:rsidRDefault="004713D3" w:rsidP="005916AF">
      <w:pPr>
        <w:numPr>
          <w:ilvl w:val="2"/>
          <w:numId w:val="3"/>
        </w:numPr>
        <w:rPr>
          <w:bCs/>
          <w:i/>
          <w:lang w:val="cs-CZ"/>
        </w:rPr>
      </w:pPr>
      <w:r w:rsidRPr="00475828">
        <w:rPr>
          <w:bCs/>
          <w:i/>
          <w:lang w:val="cs-CZ"/>
        </w:rPr>
        <w:t>Trvání smlouvy</w:t>
      </w:r>
    </w:p>
    <w:p w14:paraId="7638C359" w14:textId="04C5697F" w:rsidR="004713D3" w:rsidRPr="00475828" w:rsidRDefault="001A1791" w:rsidP="005916AF">
      <w:pPr>
        <w:ind w:firstLine="567"/>
        <w:rPr>
          <w:lang w:val="cs-CZ"/>
        </w:rPr>
      </w:pPr>
      <w:r w:rsidRPr="00475828">
        <w:rPr>
          <w:lang w:val="cs-CZ"/>
        </w:rPr>
        <w:t xml:space="preserve">Smlouva byla uzavřena na 20 let s tím, že strany dle </w:t>
      </w:r>
      <w:r w:rsidR="00227589">
        <w:rPr>
          <w:lang w:val="cs-CZ"/>
        </w:rPr>
        <w:t>svých</w:t>
      </w:r>
      <w:r w:rsidRPr="00475828">
        <w:rPr>
          <w:lang w:val="cs-CZ"/>
        </w:rPr>
        <w:t xml:space="preserve"> sdělení očekávají, že cílů předvídaných ve smlouvě bude v plném rozsahu dosaženo v roce 2020. Strany také deklarovaly, že smlouva stojí na principu „vratnosti“ (</w:t>
      </w:r>
      <w:proofErr w:type="spellStart"/>
      <w:r w:rsidRPr="00443271">
        <w:rPr>
          <w:i/>
          <w:lang w:val="cs-CZ"/>
        </w:rPr>
        <w:t>reversibilité</w:t>
      </w:r>
      <w:proofErr w:type="spellEnd"/>
      <w:r w:rsidRPr="00475828">
        <w:rPr>
          <w:lang w:val="cs-CZ"/>
        </w:rPr>
        <w:t xml:space="preserve">), tj. možnosti obou stran poskytovat zcela nezávislé služby po skončení účinnosti smlouvy. Podrobnosti </w:t>
      </w:r>
      <w:r w:rsidR="008308C3" w:rsidRPr="00475828">
        <w:rPr>
          <w:lang w:val="cs-CZ"/>
        </w:rPr>
        <w:t xml:space="preserve">postupu při aplikaci „vratnosti“ zejména s ohledem na RAN </w:t>
      </w:r>
      <w:proofErr w:type="spellStart"/>
      <w:r w:rsidR="008308C3" w:rsidRPr="00475828">
        <w:rPr>
          <w:lang w:val="cs-CZ"/>
        </w:rPr>
        <w:t>sharing</w:t>
      </w:r>
      <w:proofErr w:type="spellEnd"/>
      <w:r w:rsidR="008308C3" w:rsidRPr="00475828">
        <w:rPr>
          <w:lang w:val="cs-CZ"/>
        </w:rPr>
        <w:t xml:space="preserve"> nebyly v době vydání rozhodnutí ARCEP známy a strany se mechanismus návratu k nezávislým sítím zavázaly dopracovat.</w:t>
      </w:r>
    </w:p>
    <w:p w14:paraId="7AAB1B66" w14:textId="77777777" w:rsidR="008308C3" w:rsidRPr="00475828" w:rsidRDefault="008308C3" w:rsidP="005916AF">
      <w:pPr>
        <w:numPr>
          <w:ilvl w:val="2"/>
          <w:numId w:val="3"/>
        </w:numPr>
        <w:rPr>
          <w:bCs/>
          <w:i/>
          <w:lang w:val="cs-CZ"/>
        </w:rPr>
      </w:pPr>
      <w:r w:rsidRPr="00475828">
        <w:rPr>
          <w:bCs/>
          <w:i/>
          <w:lang w:val="cs-CZ"/>
        </w:rPr>
        <w:t>Základní podmínky sdílení</w:t>
      </w:r>
    </w:p>
    <w:p w14:paraId="114711D1" w14:textId="02426C31" w:rsidR="008308C3" w:rsidRPr="00475828" w:rsidRDefault="008308C3" w:rsidP="005916AF">
      <w:pPr>
        <w:ind w:firstLine="567"/>
        <w:rPr>
          <w:lang w:val="cs-CZ"/>
        </w:rPr>
      </w:pPr>
      <w:r w:rsidRPr="00475828">
        <w:rPr>
          <w:lang w:val="cs-CZ"/>
        </w:rPr>
        <w:t>Strany se zavázaly sdílet základnové stanice a da</w:t>
      </w:r>
      <w:r w:rsidR="00FB1E1E" w:rsidRPr="00475828">
        <w:rPr>
          <w:lang w:val="cs-CZ"/>
        </w:rPr>
        <w:t>lší prvky síťové infrastruktury s tím, že</w:t>
      </w:r>
      <w:r w:rsidR="005B6DAB">
        <w:rPr>
          <w:lang w:val="cs-CZ"/>
        </w:rPr>
        <w:t> </w:t>
      </w:r>
      <w:r w:rsidR="00FB1E1E" w:rsidRPr="00475828">
        <w:rPr>
          <w:lang w:val="cs-CZ"/>
        </w:rPr>
        <w:t>pokryto bude takto vytvořenou společnou sítí 80 % území Fr</w:t>
      </w:r>
      <w:r w:rsidR="00127715">
        <w:rPr>
          <w:lang w:val="cs-CZ"/>
        </w:rPr>
        <w:t>ancie, které odpovídá 57 % </w:t>
      </w:r>
      <w:r w:rsidR="00FB1E1E" w:rsidRPr="00475828">
        <w:rPr>
          <w:lang w:val="cs-CZ"/>
        </w:rPr>
        <w:t xml:space="preserve">obyvatel. Oba operátoři si ponechávají kontrolu </w:t>
      </w:r>
      <w:proofErr w:type="spellStart"/>
      <w:r w:rsidR="00FB1E1E" w:rsidRPr="00475828">
        <w:rPr>
          <w:lang w:val="cs-CZ"/>
        </w:rPr>
        <w:t>backbone</w:t>
      </w:r>
      <w:proofErr w:type="spellEnd"/>
      <w:r w:rsidR="00FB1E1E" w:rsidRPr="00475828">
        <w:rPr>
          <w:lang w:val="cs-CZ"/>
        </w:rPr>
        <w:t xml:space="preserve"> a přidělených frekvencí a pro účely sdílení pasivní infrastruktury založí strany joint venture </w:t>
      </w:r>
      <w:r w:rsidR="004A262C">
        <w:rPr>
          <w:lang w:val="cs-CZ"/>
        </w:rPr>
        <w:t>společnosti</w:t>
      </w:r>
      <w:r w:rsidR="00FB1E1E" w:rsidRPr="00475828">
        <w:rPr>
          <w:lang w:val="cs-CZ"/>
        </w:rPr>
        <w:t>.</w:t>
      </w:r>
    </w:p>
    <w:p w14:paraId="6E8338D8" w14:textId="77777777" w:rsidR="00A15AC4" w:rsidRPr="00475828" w:rsidRDefault="00A15AC4" w:rsidP="005916AF">
      <w:pPr>
        <w:numPr>
          <w:ilvl w:val="2"/>
          <w:numId w:val="3"/>
        </w:numPr>
        <w:rPr>
          <w:bCs/>
          <w:i/>
          <w:lang w:val="cs-CZ"/>
        </w:rPr>
      </w:pPr>
      <w:r w:rsidRPr="00475828">
        <w:rPr>
          <w:bCs/>
          <w:i/>
          <w:lang w:val="cs-CZ"/>
        </w:rPr>
        <w:t>Vyjádření regulátora</w:t>
      </w:r>
    </w:p>
    <w:p w14:paraId="3B289FF8" w14:textId="246CDA9F" w:rsidR="00A15AC4" w:rsidRPr="00475828" w:rsidRDefault="00A15AC4" w:rsidP="005916AF">
      <w:pPr>
        <w:tabs>
          <w:tab w:val="left" w:pos="567"/>
        </w:tabs>
        <w:ind w:firstLine="567"/>
        <w:rPr>
          <w:lang w:val="cs-CZ"/>
        </w:rPr>
      </w:pPr>
      <w:r w:rsidRPr="00475828">
        <w:rPr>
          <w:lang w:val="cs-CZ"/>
        </w:rPr>
        <w:t>AC se v březnu roku 2013 vyjádřil obecně k otázce sdílení sítí a národního roamingu</w:t>
      </w:r>
      <w:r w:rsidRPr="00475828">
        <w:rPr>
          <w:rStyle w:val="Znakapoznpodarou"/>
          <w:lang w:val="cs-CZ"/>
        </w:rPr>
        <w:footnoteReference w:id="79"/>
      </w:r>
      <w:r w:rsidRPr="00475828">
        <w:rPr>
          <w:lang w:val="cs-CZ"/>
        </w:rPr>
        <w:t xml:space="preserve"> v rozsáhlé analýze, která byla vydána na základě žádosti příslušných ministrů. </w:t>
      </w:r>
      <w:r w:rsidR="004D78FE" w:rsidRPr="00475828">
        <w:rPr>
          <w:lang w:val="cs-CZ"/>
        </w:rPr>
        <w:t xml:space="preserve">K vydání stanoviska došlo ve světle </w:t>
      </w:r>
      <w:r w:rsidR="00E579BB" w:rsidRPr="00475828">
        <w:rPr>
          <w:lang w:val="cs-CZ"/>
        </w:rPr>
        <w:t xml:space="preserve">situace na trhu a (tehdy nepodložených) informací, které naznačovaly, že by mohlo dojít ke sdílení sítí, zejména pak </w:t>
      </w:r>
      <w:r w:rsidR="004D78FE" w:rsidRPr="00475828">
        <w:rPr>
          <w:lang w:val="cs-CZ"/>
        </w:rPr>
        <w:t xml:space="preserve">mezi SFR a </w:t>
      </w:r>
      <w:proofErr w:type="spellStart"/>
      <w:r w:rsidR="004D78FE" w:rsidRPr="00475828">
        <w:rPr>
          <w:lang w:val="cs-CZ"/>
        </w:rPr>
        <w:t>Bouygues</w:t>
      </w:r>
      <w:proofErr w:type="spellEnd"/>
      <w:r w:rsidR="004D78FE" w:rsidRPr="00475828">
        <w:rPr>
          <w:lang w:val="cs-CZ"/>
        </w:rPr>
        <w:t>.</w:t>
      </w:r>
      <w:r w:rsidR="00FA0880" w:rsidRPr="00475828">
        <w:rPr>
          <w:lang w:val="cs-CZ"/>
        </w:rPr>
        <w:t xml:space="preserve"> Z procesního hlediska lze konstatovat, že již zde AC při vydávání stanoviska úzce spolupracoval s ARCEP, který požádal o vydání stanoviska. ARCEP stanovisko vydal </w:t>
      </w:r>
      <w:r w:rsidR="00E579BB" w:rsidRPr="00475828">
        <w:rPr>
          <w:lang w:val="cs-CZ"/>
        </w:rPr>
        <w:t>dne 20.</w:t>
      </w:r>
      <w:r w:rsidR="00443271">
        <w:rPr>
          <w:lang w:val="cs-CZ"/>
        </w:rPr>
        <w:t> </w:t>
      </w:r>
      <w:r w:rsidR="00E579BB" w:rsidRPr="00475828">
        <w:rPr>
          <w:lang w:val="cs-CZ"/>
        </w:rPr>
        <w:t>prosince 2012.</w:t>
      </w:r>
      <w:r w:rsidR="00E579BB" w:rsidRPr="00475828">
        <w:rPr>
          <w:rStyle w:val="Znakapoznpodarou"/>
          <w:lang w:val="cs-CZ"/>
        </w:rPr>
        <w:footnoteReference w:id="80"/>
      </w:r>
      <w:r w:rsidR="00E579BB" w:rsidRPr="00475828">
        <w:rPr>
          <w:lang w:val="cs-CZ"/>
        </w:rPr>
        <w:t xml:space="preserve"> AC pak ve svém stanovisku ze dne 11. března 2013 v mnoha bodech na</w:t>
      </w:r>
      <w:r w:rsidR="005B6DAB">
        <w:rPr>
          <w:lang w:val="cs-CZ"/>
        </w:rPr>
        <w:t> </w:t>
      </w:r>
      <w:r w:rsidR="00E579BB" w:rsidRPr="00475828">
        <w:rPr>
          <w:lang w:val="cs-CZ"/>
        </w:rPr>
        <w:t>názor ARCEP odkazuje a v zásadě jej bez dalšího přejímá.</w:t>
      </w:r>
      <w:r w:rsidR="009B6112" w:rsidRPr="00475828">
        <w:rPr>
          <w:rStyle w:val="Znakapoznpodarou"/>
          <w:lang w:val="cs-CZ"/>
        </w:rPr>
        <w:footnoteReference w:id="81"/>
      </w:r>
    </w:p>
    <w:p w14:paraId="208DBD58" w14:textId="77777777" w:rsidR="00543958" w:rsidRPr="00475828" w:rsidRDefault="00543958" w:rsidP="005916AF">
      <w:pPr>
        <w:ind w:firstLine="567"/>
        <w:rPr>
          <w:lang w:val="cs-CZ"/>
        </w:rPr>
      </w:pPr>
      <w:r w:rsidRPr="00475828">
        <w:rPr>
          <w:lang w:val="cs-CZ"/>
        </w:rPr>
        <w:t xml:space="preserve">Společnosti SFR a </w:t>
      </w:r>
      <w:proofErr w:type="spellStart"/>
      <w:r w:rsidRPr="00475828">
        <w:rPr>
          <w:lang w:val="cs-CZ"/>
        </w:rPr>
        <w:t>Bouygues</w:t>
      </w:r>
      <w:proofErr w:type="spellEnd"/>
      <w:r w:rsidRPr="00475828">
        <w:rPr>
          <w:lang w:val="cs-CZ"/>
        </w:rPr>
        <w:t xml:space="preserve"> tak uzavíraly popisovanou dohodou již s vědomím skutečnosti, že AC v koordinaci s ARCEP považují za určitých podmínek sdílení sítí za možné.</w:t>
      </w:r>
    </w:p>
    <w:p w14:paraId="78A5A10C" w14:textId="11563686" w:rsidR="00A15AC4" w:rsidRPr="00475828" w:rsidRDefault="00A15AC4" w:rsidP="005916AF">
      <w:pPr>
        <w:ind w:firstLine="567"/>
        <w:rPr>
          <w:lang w:val="cs-CZ"/>
        </w:rPr>
      </w:pPr>
      <w:r w:rsidRPr="00475828">
        <w:rPr>
          <w:lang w:val="cs-CZ"/>
        </w:rPr>
        <w:t xml:space="preserve">Specificky k popsanému sdílení se pak vyjádřil jak </w:t>
      </w:r>
      <w:r w:rsidRPr="00475828">
        <w:rPr>
          <w:i/>
          <w:lang w:val="cs-CZ"/>
        </w:rPr>
        <w:t>ex ante</w:t>
      </w:r>
      <w:r w:rsidRPr="00475828">
        <w:rPr>
          <w:lang w:val="cs-CZ"/>
        </w:rPr>
        <w:t xml:space="preserve"> regulátor, ARCEP, tak</w:t>
      </w:r>
      <w:r w:rsidR="005B6DAB">
        <w:rPr>
          <w:lang w:val="cs-CZ"/>
        </w:rPr>
        <w:t> </w:t>
      </w:r>
      <w:r w:rsidRPr="00475828">
        <w:rPr>
          <w:i/>
          <w:lang w:val="cs-CZ"/>
        </w:rPr>
        <w:t>ex</w:t>
      </w:r>
      <w:r w:rsidR="00443271">
        <w:rPr>
          <w:i/>
          <w:lang w:val="cs-CZ"/>
        </w:rPr>
        <w:t> </w:t>
      </w:r>
      <w:r w:rsidRPr="00475828">
        <w:rPr>
          <w:i/>
          <w:lang w:val="cs-CZ"/>
        </w:rPr>
        <w:t>post</w:t>
      </w:r>
      <w:r w:rsidRPr="00475828">
        <w:rPr>
          <w:lang w:val="cs-CZ"/>
        </w:rPr>
        <w:t xml:space="preserve"> regulátor, AC, v tomto sledu: společnost Orange, tedy operátor s největším podílem na</w:t>
      </w:r>
      <w:r w:rsidR="00443271">
        <w:rPr>
          <w:lang w:val="cs-CZ"/>
        </w:rPr>
        <w:t> </w:t>
      </w:r>
      <w:r w:rsidRPr="00475828">
        <w:rPr>
          <w:lang w:val="cs-CZ"/>
        </w:rPr>
        <w:t xml:space="preserve">francouzském mobilním trhu, se obrátila na AC ve svém podání ze dne 29. dubna 2014 s tvrzením, že smlouva o sdílení mezi společnostmi SFR a </w:t>
      </w:r>
      <w:proofErr w:type="spellStart"/>
      <w:r w:rsidR="000426DE" w:rsidRPr="00475828">
        <w:rPr>
          <w:lang w:val="cs-CZ"/>
        </w:rPr>
        <w:t>Bouygues</w:t>
      </w:r>
      <w:proofErr w:type="spellEnd"/>
      <w:r w:rsidRPr="00475828">
        <w:rPr>
          <w:lang w:val="cs-CZ"/>
        </w:rPr>
        <w:t xml:space="preserve"> představuje zakázanou dohodu ve smyslu článku 101 SFEU. V souvislosti s tímto podáním společnost Orange také požádala o vydání řady dílčích předběžných opatření, kter</w:t>
      </w:r>
      <w:r w:rsidR="006923EE">
        <w:rPr>
          <w:lang w:val="cs-CZ"/>
        </w:rPr>
        <w:t>á</w:t>
      </w:r>
      <w:r w:rsidRPr="00475828">
        <w:rPr>
          <w:lang w:val="cs-CZ"/>
        </w:rPr>
        <w:t xml:space="preserve"> by mířil</w:t>
      </w:r>
      <w:r w:rsidR="006923EE">
        <w:rPr>
          <w:lang w:val="cs-CZ"/>
        </w:rPr>
        <w:t>a</w:t>
      </w:r>
      <w:r w:rsidRPr="00475828">
        <w:rPr>
          <w:lang w:val="cs-CZ"/>
        </w:rPr>
        <w:t xml:space="preserve"> k zastavení plnění smlouvy a navrácení do původního stavu. AC požádal dne 16. května 2014 o</w:t>
      </w:r>
      <w:r w:rsidR="005B6DAB">
        <w:rPr>
          <w:lang w:val="cs-CZ"/>
        </w:rPr>
        <w:t> </w:t>
      </w:r>
      <w:r w:rsidRPr="00475828">
        <w:rPr>
          <w:lang w:val="cs-CZ"/>
        </w:rPr>
        <w:t xml:space="preserve">stanovisko ARCEP, a </w:t>
      </w:r>
      <w:r w:rsidR="00A163E1">
        <w:rPr>
          <w:lang w:val="cs-CZ"/>
        </w:rPr>
        <w:t>sám pak vydal</w:t>
      </w:r>
      <w:r w:rsidRPr="00475828">
        <w:rPr>
          <w:lang w:val="cs-CZ"/>
        </w:rPr>
        <w:t xml:space="preserve"> dne 25. září 2014 rozhodnutí, ve kterém je na</w:t>
      </w:r>
      <w:r w:rsidR="005B6DAB">
        <w:rPr>
          <w:lang w:val="cs-CZ"/>
        </w:rPr>
        <w:t> </w:t>
      </w:r>
      <w:r w:rsidRPr="00475828">
        <w:rPr>
          <w:lang w:val="cs-CZ"/>
        </w:rPr>
        <w:t>stanovisko ARCEP odkazováno a kterým návrh společnosti Orange ve všech bodech zamítl jako neopodstatněný</w:t>
      </w:r>
      <w:r w:rsidR="00EB23AF" w:rsidRPr="00475828">
        <w:rPr>
          <w:lang w:val="cs-CZ"/>
        </w:rPr>
        <w:t>, tj. odmítl vydat předběžné opatření, který bude pozastaveno plnění dohody o</w:t>
      </w:r>
      <w:r w:rsidR="00247FC2">
        <w:rPr>
          <w:lang w:val="cs-CZ"/>
        </w:rPr>
        <w:t> </w:t>
      </w:r>
      <w:r w:rsidR="00EB23AF" w:rsidRPr="00475828">
        <w:rPr>
          <w:lang w:val="cs-CZ"/>
        </w:rPr>
        <w:t xml:space="preserve">sdílení </w:t>
      </w:r>
      <w:r w:rsidR="00053DFC" w:rsidRPr="00475828">
        <w:rPr>
          <w:lang w:val="cs-CZ"/>
        </w:rPr>
        <w:t>sítí.</w:t>
      </w:r>
    </w:p>
    <w:p w14:paraId="05203F86" w14:textId="77777777" w:rsidR="00A15AC4" w:rsidRPr="00475828" w:rsidRDefault="00A15AC4" w:rsidP="005916AF">
      <w:pPr>
        <w:ind w:firstLine="567"/>
        <w:rPr>
          <w:lang w:val="cs-CZ"/>
        </w:rPr>
      </w:pPr>
      <w:r w:rsidRPr="00475828">
        <w:rPr>
          <w:lang w:val="cs-CZ"/>
        </w:rPr>
        <w:t>Rozhodnutí AC bylo dne 5. února 2015 potvrzeno Odvolacím soudem v Paříži, který</w:t>
      </w:r>
      <w:r w:rsidR="005B6DAB">
        <w:rPr>
          <w:lang w:val="cs-CZ"/>
        </w:rPr>
        <w:t> </w:t>
      </w:r>
      <w:r w:rsidRPr="00475828">
        <w:rPr>
          <w:lang w:val="cs-CZ"/>
        </w:rPr>
        <w:t>zamítl opravný prostředek společnosti Orange.</w:t>
      </w:r>
    </w:p>
    <w:p w14:paraId="4131BC64" w14:textId="77777777" w:rsidR="00AE5CF9" w:rsidRPr="00475828" w:rsidRDefault="00A15AC4" w:rsidP="005916AF">
      <w:pPr>
        <w:ind w:firstLine="567"/>
        <w:rPr>
          <w:lang w:val="cs-CZ"/>
        </w:rPr>
      </w:pPr>
      <w:r w:rsidRPr="00475828">
        <w:rPr>
          <w:lang w:val="cs-CZ"/>
        </w:rPr>
        <w:t>Nejsou k dispozici informace o tom, že by se případem sdílení sítí ve Francii zabývala Evropská komise.</w:t>
      </w:r>
    </w:p>
    <w:p w14:paraId="2C151176" w14:textId="6122BF3A" w:rsidR="00543958" w:rsidRPr="00475828" w:rsidRDefault="00543958" w:rsidP="005916AF">
      <w:pPr>
        <w:ind w:firstLine="567"/>
        <w:rPr>
          <w:lang w:val="cs-CZ"/>
        </w:rPr>
      </w:pPr>
      <w:r w:rsidRPr="00475828">
        <w:rPr>
          <w:lang w:val="cs-CZ"/>
        </w:rPr>
        <w:t>Co se týče merit</w:t>
      </w:r>
      <w:r w:rsidR="00E50245">
        <w:rPr>
          <w:lang w:val="cs-CZ"/>
        </w:rPr>
        <w:t>a</w:t>
      </w:r>
      <w:r w:rsidRPr="00475828">
        <w:rPr>
          <w:lang w:val="cs-CZ"/>
        </w:rPr>
        <w:t xml:space="preserve"> věci, je nutné konstatovat, že AC ve spolupráci s ARCEP předložil velmi komplexní (i když v mnoha ohledech poněkud povrchní) rozhodnutí, které analyzuje důležité aspekty a </w:t>
      </w:r>
      <w:r w:rsidR="00EE05E7">
        <w:rPr>
          <w:lang w:val="cs-CZ"/>
        </w:rPr>
        <w:t>v některých případech také</w:t>
      </w:r>
      <w:r w:rsidR="00EE05E7" w:rsidRPr="00475828">
        <w:rPr>
          <w:lang w:val="cs-CZ"/>
        </w:rPr>
        <w:t xml:space="preserve"> </w:t>
      </w:r>
      <w:r w:rsidRPr="00475828">
        <w:rPr>
          <w:lang w:val="cs-CZ"/>
        </w:rPr>
        <w:t xml:space="preserve">rizika zkoumané dohody o sdílení sítí. Zároveň je nutné uvést, že situace regulátorů při vydávání rozhodnutí </w:t>
      </w:r>
      <w:r w:rsidR="00573236" w:rsidRPr="00475828">
        <w:rPr>
          <w:lang w:val="cs-CZ"/>
        </w:rPr>
        <w:t>byla zjednodušena tím, že Orange ve</w:t>
      </w:r>
      <w:r w:rsidR="005B6DAB">
        <w:rPr>
          <w:lang w:val="cs-CZ"/>
        </w:rPr>
        <w:t> </w:t>
      </w:r>
      <w:r w:rsidR="00573236" w:rsidRPr="00475828">
        <w:rPr>
          <w:lang w:val="cs-CZ"/>
        </w:rPr>
        <w:t>svém podání, kterým napadl předmětnou dohodu o sdílení, tvrdil, že mu hrozí bezprostřední újma. Z toho plyne, že ARCEP ani AC nebyli nuceni vyhodnocovat dohodu o</w:t>
      </w:r>
      <w:r w:rsidR="005B6DAB">
        <w:rPr>
          <w:lang w:val="cs-CZ"/>
        </w:rPr>
        <w:t> </w:t>
      </w:r>
      <w:r w:rsidR="00573236" w:rsidRPr="00475828">
        <w:rPr>
          <w:lang w:val="cs-CZ"/>
        </w:rPr>
        <w:t xml:space="preserve">sdílení mezi </w:t>
      </w:r>
      <w:r w:rsidR="00DD62D8">
        <w:rPr>
          <w:lang w:val="cs-CZ"/>
        </w:rPr>
        <w:t xml:space="preserve">společnostmi </w:t>
      </w:r>
      <w:r w:rsidR="00573236" w:rsidRPr="00475828">
        <w:rPr>
          <w:lang w:val="cs-CZ"/>
        </w:rPr>
        <w:t>SFR a</w:t>
      </w:r>
      <w:r w:rsidR="00AC6783">
        <w:rPr>
          <w:lang w:val="cs-CZ"/>
        </w:rPr>
        <w:t> </w:t>
      </w:r>
      <w:proofErr w:type="spellStart"/>
      <w:r w:rsidR="00573236" w:rsidRPr="00475828">
        <w:rPr>
          <w:lang w:val="cs-CZ"/>
        </w:rPr>
        <w:t>Bouygues</w:t>
      </w:r>
      <w:proofErr w:type="spellEnd"/>
      <w:r w:rsidR="00573236" w:rsidRPr="00475828">
        <w:rPr>
          <w:lang w:val="cs-CZ"/>
        </w:rPr>
        <w:t xml:space="preserve"> v dlouhodobém horizontu, ale pouze hodnotili, zda k okamžiku vydání rozhodnutí hrozí narušení hospodářské soutěže v důsledku sdílení sítí a s tím související </w:t>
      </w:r>
      <w:r w:rsidR="00DD62D8">
        <w:rPr>
          <w:lang w:val="cs-CZ"/>
        </w:rPr>
        <w:t>vznik</w:t>
      </w:r>
      <w:r w:rsidR="00573236" w:rsidRPr="00475828">
        <w:rPr>
          <w:lang w:val="cs-CZ"/>
        </w:rPr>
        <w:t xml:space="preserve"> újmy pro </w:t>
      </w:r>
      <w:r w:rsidR="00EE05E7">
        <w:rPr>
          <w:lang w:val="cs-CZ"/>
        </w:rPr>
        <w:t xml:space="preserve">společnost </w:t>
      </w:r>
      <w:r w:rsidR="00573236" w:rsidRPr="00475828">
        <w:rPr>
          <w:lang w:val="cs-CZ"/>
        </w:rPr>
        <w:t>Orange nebo další soutěžitele.</w:t>
      </w:r>
    </w:p>
    <w:p w14:paraId="3F4B9A22" w14:textId="77777777" w:rsidR="007030DC" w:rsidRPr="00475828" w:rsidRDefault="007030DC" w:rsidP="005916AF">
      <w:pPr>
        <w:numPr>
          <w:ilvl w:val="2"/>
          <w:numId w:val="3"/>
        </w:numPr>
        <w:rPr>
          <w:bCs/>
          <w:i/>
          <w:lang w:val="cs-CZ"/>
        </w:rPr>
      </w:pPr>
      <w:r w:rsidRPr="00475828">
        <w:rPr>
          <w:bCs/>
          <w:i/>
          <w:lang w:val="cs-CZ"/>
        </w:rPr>
        <w:t xml:space="preserve">Reakce </w:t>
      </w:r>
      <w:proofErr w:type="spellStart"/>
      <w:r w:rsidRPr="00475828">
        <w:rPr>
          <w:bCs/>
          <w:i/>
          <w:lang w:val="cs-CZ"/>
        </w:rPr>
        <w:t>mimostojících</w:t>
      </w:r>
      <w:proofErr w:type="spellEnd"/>
      <w:r w:rsidRPr="00475828">
        <w:rPr>
          <w:bCs/>
          <w:i/>
          <w:lang w:val="cs-CZ"/>
        </w:rPr>
        <w:t xml:space="preserve"> operátorů</w:t>
      </w:r>
    </w:p>
    <w:p w14:paraId="5264E204" w14:textId="0D0F0793" w:rsidR="00694907" w:rsidRPr="00475828" w:rsidRDefault="00694907" w:rsidP="005916AF">
      <w:pPr>
        <w:ind w:firstLine="567"/>
        <w:rPr>
          <w:lang w:val="cs-CZ"/>
        </w:rPr>
      </w:pPr>
      <w:r w:rsidRPr="00475828">
        <w:rPr>
          <w:lang w:val="cs-CZ"/>
        </w:rPr>
        <w:t>Z popsaného vývoje je zjevné, že sdílení sítí považuje za problematické zejména MNO s největším tržním podílem Orange, který se rozhodl bránit žádostí o předběžné opatření podanou AC a následně i soudní cestou.</w:t>
      </w:r>
    </w:p>
    <w:p w14:paraId="033FA13A" w14:textId="36D701A7" w:rsidR="005916AF" w:rsidRDefault="00694907" w:rsidP="005916AF">
      <w:pPr>
        <w:ind w:firstLine="567"/>
        <w:rPr>
          <w:lang w:val="cs-CZ"/>
        </w:rPr>
      </w:pPr>
      <w:r w:rsidRPr="00475828">
        <w:rPr>
          <w:lang w:val="cs-CZ"/>
        </w:rPr>
        <w:t xml:space="preserve">Na druhou stranu nejsou dostupné informace o tom, že by se další </w:t>
      </w:r>
      <w:proofErr w:type="spellStart"/>
      <w:r w:rsidRPr="00475828">
        <w:rPr>
          <w:lang w:val="cs-CZ"/>
        </w:rPr>
        <w:t>mimostojící</w:t>
      </w:r>
      <w:proofErr w:type="spellEnd"/>
      <w:r w:rsidRPr="00475828">
        <w:rPr>
          <w:lang w:val="cs-CZ"/>
        </w:rPr>
        <w:t xml:space="preserve"> </w:t>
      </w:r>
      <w:r w:rsidR="00DA3EDA" w:rsidRPr="00475828">
        <w:rPr>
          <w:lang w:val="cs-CZ"/>
        </w:rPr>
        <w:t>(a</w:t>
      </w:r>
      <w:r w:rsidR="005B6DAB">
        <w:rPr>
          <w:lang w:val="cs-CZ"/>
        </w:rPr>
        <w:t> </w:t>
      </w:r>
      <w:r w:rsidR="00DA3EDA" w:rsidRPr="00475828">
        <w:rPr>
          <w:lang w:val="cs-CZ"/>
        </w:rPr>
        <w:t xml:space="preserve">zároveň co do tržních podílů nejmenší) </w:t>
      </w:r>
      <w:r w:rsidRPr="00475828">
        <w:rPr>
          <w:lang w:val="cs-CZ"/>
        </w:rPr>
        <w:t xml:space="preserve">operátor Free cítil dohodou o sdílení </w:t>
      </w:r>
      <w:r w:rsidR="00DA3EDA" w:rsidRPr="00475828">
        <w:rPr>
          <w:lang w:val="cs-CZ"/>
        </w:rPr>
        <w:t xml:space="preserve">významně </w:t>
      </w:r>
      <w:r w:rsidRPr="00475828">
        <w:rPr>
          <w:lang w:val="cs-CZ"/>
        </w:rPr>
        <w:t xml:space="preserve">poškozen. </w:t>
      </w:r>
      <w:r w:rsidR="00DA3EDA" w:rsidRPr="00475828">
        <w:rPr>
          <w:lang w:val="cs-CZ"/>
        </w:rPr>
        <w:t>Média se omezují na konstatování, že Free požaduje, aby se mohl dohody o sdílení sítí také účastnit.</w:t>
      </w:r>
      <w:r w:rsidR="00371E48" w:rsidRPr="00475828">
        <w:rPr>
          <w:rStyle w:val="Znakapoznpodarou"/>
          <w:lang w:val="cs-CZ"/>
        </w:rPr>
        <w:footnoteReference w:id="82"/>
      </w:r>
      <w:r w:rsidR="00DA3EDA" w:rsidRPr="00475828">
        <w:rPr>
          <w:lang w:val="cs-CZ"/>
        </w:rPr>
        <w:t xml:space="preserve"> Účast </w:t>
      </w:r>
      <w:r w:rsidR="00DD62D8">
        <w:rPr>
          <w:lang w:val="cs-CZ"/>
        </w:rPr>
        <w:t xml:space="preserve">společnosti </w:t>
      </w:r>
      <w:r w:rsidR="00DA3EDA" w:rsidRPr="00475828">
        <w:rPr>
          <w:lang w:val="cs-CZ"/>
        </w:rPr>
        <w:t xml:space="preserve">Free na dohodě o sdílení zcela nevyloučil ani generální ředitel </w:t>
      </w:r>
      <w:r w:rsidR="00DD62D8">
        <w:rPr>
          <w:lang w:val="cs-CZ"/>
        </w:rPr>
        <w:t xml:space="preserve">společnosti </w:t>
      </w:r>
      <w:r w:rsidR="00DA3EDA" w:rsidRPr="00475828">
        <w:rPr>
          <w:lang w:val="cs-CZ"/>
        </w:rPr>
        <w:t>SFR.</w:t>
      </w:r>
      <w:r w:rsidR="00371E48" w:rsidRPr="00475828">
        <w:rPr>
          <w:rStyle w:val="Znakapoznpodarou"/>
          <w:lang w:val="cs-CZ"/>
        </w:rPr>
        <w:footnoteReference w:id="83"/>
      </w:r>
      <w:r w:rsidR="00DA3EDA" w:rsidRPr="00475828">
        <w:rPr>
          <w:lang w:val="cs-CZ"/>
        </w:rPr>
        <w:t xml:space="preserve"> Umírněná reakce Free</w:t>
      </w:r>
      <w:r w:rsidRPr="00475828">
        <w:rPr>
          <w:lang w:val="cs-CZ"/>
        </w:rPr>
        <w:t xml:space="preserve"> může vyplývat zejména ze skutečnosti, že </w:t>
      </w:r>
      <w:r w:rsidR="00DA3EDA" w:rsidRPr="00475828">
        <w:rPr>
          <w:lang w:val="cs-CZ"/>
        </w:rPr>
        <w:t xml:space="preserve">sám Free požívá výhod vyplývajících z dohod o národním roamingu na 2G, 3G i 4G (národní roaming je dle dostupných informací poskytován všemi zbývajícími </w:t>
      </w:r>
      <w:proofErr w:type="spellStart"/>
      <w:r w:rsidR="00DA3EDA" w:rsidRPr="00475828">
        <w:rPr>
          <w:lang w:val="cs-CZ"/>
        </w:rPr>
        <w:t>MNOs</w:t>
      </w:r>
      <w:proofErr w:type="spellEnd"/>
      <w:r w:rsidR="00DA3EDA" w:rsidRPr="00475828">
        <w:rPr>
          <w:lang w:val="cs-CZ"/>
        </w:rPr>
        <w:t>). Jak je uvedeno výše, AC zastává názor, že některé z dohod o národním roamingu by neměly být prodlužovány za hranici jejich počáteční doby účinnosti (například šestiletá doba trvání smlouvy o národním roamingu na</w:t>
      </w:r>
      <w:r w:rsidR="005B6DAB">
        <w:rPr>
          <w:lang w:val="cs-CZ"/>
        </w:rPr>
        <w:t> </w:t>
      </w:r>
      <w:r w:rsidR="00DA3EDA" w:rsidRPr="00475828">
        <w:rPr>
          <w:lang w:val="cs-CZ"/>
        </w:rPr>
        <w:t>2G)</w:t>
      </w:r>
      <w:r w:rsidR="00371E48" w:rsidRPr="00475828">
        <w:rPr>
          <w:lang w:val="cs-CZ"/>
        </w:rPr>
        <w:t xml:space="preserve">, aniž by takové prodloužení zároveň bylo doprovázeno jinými omezujícími opatřeními. Je tedy možné, že </w:t>
      </w:r>
      <w:r w:rsidR="00DD62D8">
        <w:rPr>
          <w:lang w:val="cs-CZ"/>
        </w:rPr>
        <w:t xml:space="preserve">společnost </w:t>
      </w:r>
      <w:r w:rsidR="00371E48" w:rsidRPr="00475828">
        <w:rPr>
          <w:lang w:val="cs-CZ"/>
        </w:rPr>
        <w:t>Free v současné době řeší otázku dalšího nastavení svého obchodního modelu a otázka dohody o sdílení sítí je pro něj v tuto chvíli spíše marginální záležitostí.</w:t>
      </w:r>
    </w:p>
    <w:p w14:paraId="3B18E585" w14:textId="77777777" w:rsidR="005916AF" w:rsidRDefault="005916AF">
      <w:pPr>
        <w:spacing w:before="0" w:after="0" w:line="240" w:lineRule="auto"/>
        <w:jc w:val="left"/>
        <w:rPr>
          <w:lang w:val="cs-CZ"/>
        </w:rPr>
      </w:pPr>
      <w:r>
        <w:rPr>
          <w:lang w:val="cs-CZ"/>
        </w:rPr>
        <w:br w:type="page"/>
      </w:r>
    </w:p>
    <w:p w14:paraId="4529E2AE" w14:textId="77777777" w:rsidR="00AE5CF9" w:rsidRPr="00475828" w:rsidRDefault="00AE5CF9" w:rsidP="005916AF">
      <w:pPr>
        <w:pStyle w:val="Nadpis2"/>
        <w:keepNext w:val="0"/>
        <w:numPr>
          <w:ilvl w:val="1"/>
          <w:numId w:val="3"/>
        </w:numPr>
        <w:rPr>
          <w:i/>
        </w:rPr>
      </w:pPr>
      <w:bookmarkStart w:id="99" w:name="_Toc301423673"/>
      <w:r w:rsidRPr="00475828">
        <w:t>Případová studie – Velká Británie</w:t>
      </w:r>
      <w:bookmarkEnd w:id="99"/>
    </w:p>
    <w:p w14:paraId="72EA0300" w14:textId="77777777" w:rsidR="00944B65" w:rsidRPr="00475828" w:rsidRDefault="00944B65" w:rsidP="005916AF">
      <w:pPr>
        <w:numPr>
          <w:ilvl w:val="2"/>
          <w:numId w:val="3"/>
        </w:numPr>
        <w:rPr>
          <w:bCs/>
          <w:i/>
          <w:lang w:val="cs-CZ"/>
        </w:rPr>
      </w:pPr>
      <w:r w:rsidRPr="00475828">
        <w:rPr>
          <w:bCs/>
          <w:i/>
          <w:lang w:val="cs-CZ"/>
        </w:rPr>
        <w:t>Shrnutí</w:t>
      </w:r>
      <w:r w:rsidR="00694907" w:rsidRPr="00475828">
        <w:rPr>
          <w:bCs/>
          <w:i/>
          <w:lang w:val="cs-CZ"/>
        </w:rPr>
        <w:t xml:space="preserve"> situace na trhu</w:t>
      </w:r>
    </w:p>
    <w:p w14:paraId="16821662" w14:textId="51F27F34" w:rsidR="00944B65" w:rsidRPr="00475828" w:rsidRDefault="00A163E1" w:rsidP="005916AF">
      <w:pPr>
        <w:ind w:firstLine="567"/>
        <w:rPr>
          <w:lang w:val="cs-CZ"/>
        </w:rPr>
      </w:pPr>
      <w:r>
        <w:rPr>
          <w:lang w:val="cs-CZ"/>
        </w:rPr>
        <w:t>P</w:t>
      </w:r>
      <w:r w:rsidR="00944B65" w:rsidRPr="00475828">
        <w:rPr>
          <w:lang w:val="cs-CZ"/>
        </w:rPr>
        <w:t xml:space="preserve">roblematika sdílení sítí </w:t>
      </w:r>
      <w:r>
        <w:rPr>
          <w:lang w:val="cs-CZ"/>
        </w:rPr>
        <w:t xml:space="preserve">prošla ve Velké Británii </w:t>
      </w:r>
      <w:r w:rsidR="00944B65" w:rsidRPr="00475828">
        <w:rPr>
          <w:lang w:val="cs-CZ"/>
        </w:rPr>
        <w:t>dlouhým vývojem, který začal</w:t>
      </w:r>
      <w:r w:rsidR="00434105">
        <w:rPr>
          <w:lang w:val="cs-CZ"/>
        </w:rPr>
        <w:t xml:space="preserve"> (stejně jako například v Německu)</w:t>
      </w:r>
      <w:r w:rsidR="00944B65" w:rsidRPr="00475828">
        <w:rPr>
          <w:lang w:val="cs-CZ"/>
        </w:rPr>
        <w:t xml:space="preserve"> </w:t>
      </w:r>
      <w:r w:rsidR="007030DC" w:rsidRPr="00475828">
        <w:rPr>
          <w:lang w:val="cs-CZ"/>
        </w:rPr>
        <w:t>již</w:t>
      </w:r>
      <w:r w:rsidR="00944B65" w:rsidRPr="00475828">
        <w:rPr>
          <w:lang w:val="cs-CZ"/>
        </w:rPr>
        <w:t xml:space="preserve"> v roce 200</w:t>
      </w:r>
      <w:r w:rsidR="007030DC" w:rsidRPr="00475828">
        <w:rPr>
          <w:lang w:val="cs-CZ"/>
        </w:rPr>
        <w:t>1</w:t>
      </w:r>
      <w:r w:rsidR="00944B65" w:rsidRPr="00475828">
        <w:rPr>
          <w:lang w:val="cs-CZ"/>
        </w:rPr>
        <w:t xml:space="preserve">. Situace </w:t>
      </w:r>
      <w:r>
        <w:rPr>
          <w:lang w:val="cs-CZ"/>
        </w:rPr>
        <w:t>zde</w:t>
      </w:r>
      <w:r w:rsidR="00944B65" w:rsidRPr="00475828">
        <w:rPr>
          <w:lang w:val="cs-CZ"/>
        </w:rPr>
        <w:t xml:space="preserve"> ukazuje, že </w:t>
      </w:r>
      <w:r w:rsidR="007030DC" w:rsidRPr="00475828">
        <w:rPr>
          <w:lang w:val="cs-CZ"/>
        </w:rPr>
        <w:t xml:space="preserve">sdílení sítí může mít různou podobu a může vedle sebe existovat řada dohod o sdílení sítí. </w:t>
      </w:r>
      <w:r w:rsidR="00434105">
        <w:rPr>
          <w:lang w:val="cs-CZ"/>
        </w:rPr>
        <w:t>Na druhou stranu</w:t>
      </w:r>
      <w:r w:rsidRPr="00475828">
        <w:rPr>
          <w:lang w:val="cs-CZ"/>
        </w:rPr>
        <w:t xml:space="preserve"> </w:t>
      </w:r>
      <w:r w:rsidR="007030DC" w:rsidRPr="00475828">
        <w:rPr>
          <w:lang w:val="cs-CZ"/>
        </w:rPr>
        <w:t xml:space="preserve">je nutné mít na paměti skutečnost, že tržní situace je ve Velké Británii </w:t>
      </w:r>
      <w:r>
        <w:rPr>
          <w:lang w:val="cs-CZ"/>
        </w:rPr>
        <w:t xml:space="preserve">specifická a </w:t>
      </w:r>
      <w:r w:rsidR="007030DC" w:rsidRPr="00475828">
        <w:rPr>
          <w:lang w:val="cs-CZ"/>
        </w:rPr>
        <w:t>odlišná</w:t>
      </w:r>
      <w:r w:rsidR="00434105">
        <w:rPr>
          <w:lang w:val="cs-CZ"/>
        </w:rPr>
        <w:t xml:space="preserve"> od většiny</w:t>
      </w:r>
      <w:r>
        <w:rPr>
          <w:lang w:val="cs-CZ"/>
        </w:rPr>
        <w:t xml:space="preserve"> evropských zemí </w:t>
      </w:r>
      <w:r w:rsidR="007030DC" w:rsidRPr="00475828">
        <w:rPr>
          <w:lang w:val="cs-CZ"/>
        </w:rPr>
        <w:t xml:space="preserve">– na trhu nyní působí čtyři </w:t>
      </w:r>
      <w:proofErr w:type="spellStart"/>
      <w:r w:rsidR="007030DC" w:rsidRPr="00475828">
        <w:rPr>
          <w:lang w:val="cs-CZ"/>
        </w:rPr>
        <w:t>MNOs</w:t>
      </w:r>
      <w:proofErr w:type="spellEnd"/>
      <w:r w:rsidR="007030DC" w:rsidRPr="00475828">
        <w:rPr>
          <w:lang w:val="cs-CZ"/>
        </w:rPr>
        <w:t>, před</w:t>
      </w:r>
      <w:r w:rsidR="005B6DAB">
        <w:rPr>
          <w:lang w:val="cs-CZ"/>
        </w:rPr>
        <w:t> </w:t>
      </w:r>
      <w:r w:rsidR="00D73AE2">
        <w:rPr>
          <w:lang w:val="cs-CZ"/>
        </w:rPr>
        <w:t>spojením operátorů Orange a </w:t>
      </w:r>
      <w:r w:rsidR="007030DC" w:rsidRPr="00475828">
        <w:rPr>
          <w:lang w:val="cs-CZ"/>
        </w:rPr>
        <w:t xml:space="preserve">T-Mobile zde působilo dokonce pět </w:t>
      </w:r>
      <w:proofErr w:type="spellStart"/>
      <w:r w:rsidR="007030DC" w:rsidRPr="00475828">
        <w:rPr>
          <w:lang w:val="cs-CZ"/>
        </w:rPr>
        <w:t>MNOs</w:t>
      </w:r>
      <w:proofErr w:type="spellEnd"/>
      <w:r w:rsidR="007030DC" w:rsidRPr="00475828">
        <w:rPr>
          <w:lang w:val="cs-CZ"/>
        </w:rPr>
        <w:t>.</w:t>
      </w:r>
    </w:p>
    <w:p w14:paraId="17A158FD" w14:textId="77777777" w:rsidR="00A15AC4" w:rsidRPr="00475828" w:rsidRDefault="00A1360F" w:rsidP="005916AF">
      <w:pPr>
        <w:numPr>
          <w:ilvl w:val="2"/>
          <w:numId w:val="3"/>
        </w:numPr>
        <w:rPr>
          <w:bCs/>
          <w:i/>
          <w:lang w:val="cs-CZ"/>
        </w:rPr>
      </w:pPr>
      <w:r>
        <w:rPr>
          <w:bCs/>
          <w:i/>
          <w:lang w:val="cs-CZ"/>
        </w:rPr>
        <w:t>První dohoda o sdílení (2001)</w:t>
      </w:r>
    </w:p>
    <w:p w14:paraId="23DF9BE8" w14:textId="77777777" w:rsidR="009643E0" w:rsidRPr="00475828" w:rsidRDefault="009643E0" w:rsidP="005916AF">
      <w:pPr>
        <w:pStyle w:val="Odstavecseseznamem"/>
        <w:numPr>
          <w:ilvl w:val="0"/>
          <w:numId w:val="22"/>
        </w:numPr>
        <w:rPr>
          <w:bCs/>
          <w:lang w:val="cs-CZ"/>
        </w:rPr>
      </w:pPr>
      <w:r w:rsidRPr="00475828">
        <w:rPr>
          <w:bCs/>
          <w:i/>
          <w:lang w:val="cs-CZ"/>
        </w:rPr>
        <w:t>Smluvní podmínky</w:t>
      </w:r>
    </w:p>
    <w:p w14:paraId="546CDD62" w14:textId="77777777" w:rsidR="00F21E62" w:rsidRPr="00475828" w:rsidRDefault="00A15AC4" w:rsidP="005916AF">
      <w:pPr>
        <w:ind w:firstLine="567"/>
        <w:rPr>
          <w:bCs/>
          <w:lang w:val="cs-CZ"/>
        </w:rPr>
      </w:pPr>
      <w:r w:rsidRPr="00475828">
        <w:rPr>
          <w:bCs/>
          <w:lang w:val="cs-CZ"/>
        </w:rPr>
        <w:t>První dohodou o sdílení sítí na území Velké Británie byl</w:t>
      </w:r>
      <w:r w:rsidR="00F42E6E" w:rsidRPr="00475828">
        <w:rPr>
          <w:bCs/>
          <w:lang w:val="cs-CZ"/>
        </w:rPr>
        <w:t>a dohoda</w:t>
      </w:r>
      <w:r w:rsidRPr="00475828">
        <w:rPr>
          <w:bCs/>
          <w:lang w:val="cs-CZ"/>
        </w:rPr>
        <w:t xml:space="preserve"> mezi operátory O2 a</w:t>
      </w:r>
      <w:r w:rsidR="00087936">
        <w:rPr>
          <w:bCs/>
          <w:lang w:val="cs-CZ"/>
        </w:rPr>
        <w:t> </w:t>
      </w:r>
      <w:r w:rsidRPr="00475828">
        <w:rPr>
          <w:bCs/>
          <w:lang w:val="cs-CZ"/>
        </w:rPr>
        <w:t>T-Mobile z roku 2001, jež zahrnovala sdílení pasivní infrastruktury a</w:t>
      </w:r>
      <w:r w:rsidR="00F42E6E" w:rsidRPr="00475828">
        <w:rPr>
          <w:bCs/>
          <w:lang w:val="cs-CZ"/>
        </w:rPr>
        <w:t xml:space="preserve"> závazek</w:t>
      </w:r>
      <w:r w:rsidRPr="00475828">
        <w:rPr>
          <w:bCs/>
          <w:lang w:val="cs-CZ"/>
        </w:rPr>
        <w:t xml:space="preserve"> národní</w:t>
      </w:r>
      <w:r w:rsidR="00F42E6E" w:rsidRPr="00475828">
        <w:rPr>
          <w:bCs/>
          <w:lang w:val="cs-CZ"/>
        </w:rPr>
        <w:t>ho</w:t>
      </w:r>
      <w:r w:rsidRPr="00475828">
        <w:rPr>
          <w:bCs/>
          <w:lang w:val="cs-CZ"/>
        </w:rPr>
        <w:t xml:space="preserve"> roaming</w:t>
      </w:r>
      <w:r w:rsidR="00F42E6E" w:rsidRPr="00475828">
        <w:rPr>
          <w:bCs/>
          <w:lang w:val="cs-CZ"/>
        </w:rPr>
        <w:t>u</w:t>
      </w:r>
      <w:r w:rsidRPr="00475828">
        <w:rPr>
          <w:bCs/>
          <w:lang w:val="cs-CZ"/>
        </w:rPr>
        <w:t xml:space="preserve">. V té době ještě nebyla vybudována mobilní síť pro 3G služby a na maloobchodním trhu </w:t>
      </w:r>
      <w:r w:rsidR="00F21E62" w:rsidRPr="00475828">
        <w:rPr>
          <w:bCs/>
          <w:lang w:val="cs-CZ"/>
        </w:rPr>
        <w:t>mobilní telefonie, tj. 2G</w:t>
      </w:r>
      <w:r w:rsidR="00F42E6E" w:rsidRPr="00475828">
        <w:rPr>
          <w:bCs/>
          <w:lang w:val="cs-CZ"/>
        </w:rPr>
        <w:t>, měl</w:t>
      </w:r>
      <w:r w:rsidR="00DD62D8">
        <w:rPr>
          <w:bCs/>
          <w:lang w:val="cs-CZ"/>
        </w:rPr>
        <w:t xml:space="preserve"> operátor</w:t>
      </w:r>
      <w:r w:rsidR="00F21E62" w:rsidRPr="00475828">
        <w:rPr>
          <w:bCs/>
          <w:lang w:val="cs-CZ"/>
        </w:rPr>
        <w:t xml:space="preserve"> O2 podíl cca 22 % a </w:t>
      </w:r>
      <w:r w:rsidR="00DD62D8">
        <w:rPr>
          <w:bCs/>
          <w:lang w:val="cs-CZ"/>
        </w:rPr>
        <w:t xml:space="preserve">operátor </w:t>
      </w:r>
      <w:r w:rsidR="00F21E62" w:rsidRPr="00475828">
        <w:rPr>
          <w:bCs/>
          <w:lang w:val="cs-CZ"/>
        </w:rPr>
        <w:t xml:space="preserve">T-Mobile </w:t>
      </w:r>
      <w:r w:rsidR="00DD62D8">
        <w:rPr>
          <w:bCs/>
          <w:lang w:val="cs-CZ"/>
        </w:rPr>
        <w:t xml:space="preserve">cca </w:t>
      </w:r>
      <w:r w:rsidR="00F21E62" w:rsidRPr="00475828">
        <w:rPr>
          <w:bCs/>
          <w:lang w:val="cs-CZ"/>
        </w:rPr>
        <w:t>17 %.</w:t>
      </w:r>
      <w:r w:rsidR="00F42E6E" w:rsidRPr="00475828">
        <w:rPr>
          <w:rStyle w:val="Znakapoznpodarou"/>
          <w:bCs/>
          <w:lang w:val="cs-CZ"/>
        </w:rPr>
        <w:footnoteReference w:id="84"/>
      </w:r>
      <w:r w:rsidR="00F21E62" w:rsidRPr="00475828">
        <w:rPr>
          <w:bCs/>
          <w:lang w:val="cs-CZ"/>
        </w:rPr>
        <w:t xml:space="preserve"> Tato dohoda obsahovala závazek sdílení pasivní infrastruktury a národního roamingu, avšak předpokládala také</w:t>
      </w:r>
      <w:r w:rsidR="00F71273" w:rsidRPr="00475828">
        <w:rPr>
          <w:bCs/>
          <w:lang w:val="cs-CZ"/>
        </w:rPr>
        <w:t xml:space="preserve"> možnost v</w:t>
      </w:r>
      <w:r w:rsidR="00F21E62" w:rsidRPr="00475828">
        <w:rPr>
          <w:bCs/>
          <w:lang w:val="cs-CZ"/>
        </w:rPr>
        <w:t xml:space="preserve"> budouc</w:t>
      </w:r>
      <w:r w:rsidR="00F71273" w:rsidRPr="00475828">
        <w:rPr>
          <w:bCs/>
          <w:lang w:val="cs-CZ"/>
        </w:rPr>
        <w:t>nosti</w:t>
      </w:r>
      <w:r w:rsidR="00F21E62" w:rsidRPr="00475828">
        <w:rPr>
          <w:bCs/>
          <w:lang w:val="cs-CZ"/>
        </w:rPr>
        <w:t xml:space="preserve"> </w:t>
      </w:r>
      <w:r w:rsidR="00A163E1">
        <w:rPr>
          <w:bCs/>
          <w:lang w:val="cs-CZ"/>
        </w:rPr>
        <w:t>sdílet sítě</w:t>
      </w:r>
      <w:r w:rsidR="00F21E62" w:rsidRPr="00475828">
        <w:rPr>
          <w:bCs/>
          <w:lang w:val="cs-CZ"/>
        </w:rPr>
        <w:t xml:space="preserve"> formou RAN </w:t>
      </w:r>
      <w:r w:rsidR="00D73563" w:rsidRPr="00475828">
        <w:rPr>
          <w:bCs/>
          <w:lang w:val="cs-CZ"/>
        </w:rPr>
        <w:t>ve specifických případech</w:t>
      </w:r>
      <w:r w:rsidR="00F21E62" w:rsidRPr="00475828">
        <w:rPr>
          <w:bCs/>
          <w:lang w:val="cs-CZ"/>
        </w:rPr>
        <w:t>.</w:t>
      </w:r>
      <w:r w:rsidR="00F71273" w:rsidRPr="00475828">
        <w:rPr>
          <w:bCs/>
          <w:lang w:val="cs-CZ"/>
        </w:rPr>
        <w:t xml:space="preserve"> </w:t>
      </w:r>
      <w:r w:rsidR="00D73563" w:rsidRPr="00475828">
        <w:rPr>
          <w:bCs/>
          <w:lang w:val="cs-CZ"/>
        </w:rPr>
        <w:t xml:space="preserve"> </w:t>
      </w:r>
    </w:p>
    <w:p w14:paraId="6F75EB17" w14:textId="77777777" w:rsidR="009643E0" w:rsidRPr="00475828" w:rsidRDefault="009643E0" w:rsidP="005916AF">
      <w:pPr>
        <w:pStyle w:val="Odstavecseseznamem"/>
        <w:numPr>
          <w:ilvl w:val="0"/>
          <w:numId w:val="22"/>
        </w:numPr>
        <w:rPr>
          <w:bCs/>
          <w:lang w:val="cs-CZ"/>
        </w:rPr>
      </w:pPr>
      <w:r w:rsidRPr="00475828">
        <w:rPr>
          <w:bCs/>
          <w:i/>
          <w:lang w:val="cs-CZ"/>
        </w:rPr>
        <w:t xml:space="preserve">Rozhodnutí Komise a následně Tribunálu </w:t>
      </w:r>
    </w:p>
    <w:p w14:paraId="19C8C02D" w14:textId="77777777" w:rsidR="009643E0" w:rsidRPr="00475828" w:rsidRDefault="009643E0" w:rsidP="005916AF">
      <w:pPr>
        <w:ind w:firstLine="567"/>
        <w:rPr>
          <w:bCs/>
          <w:lang w:val="cs-CZ"/>
        </w:rPr>
      </w:pPr>
      <w:r w:rsidRPr="00475828">
        <w:rPr>
          <w:bCs/>
          <w:lang w:val="cs-CZ"/>
        </w:rPr>
        <w:t>Komise se vyjádřila, že jelikož bylo v dohodě sdílení RAN přepokládáno pouze v omezeném rozsahu, tak by nemělo omezit nezávislost stran ve vztahu ke správě vlastních sítí.</w:t>
      </w:r>
      <w:r w:rsidRPr="00475828">
        <w:rPr>
          <w:rStyle w:val="Znakapoznpodarou"/>
          <w:bCs/>
          <w:lang w:val="cs-CZ"/>
        </w:rPr>
        <w:footnoteReference w:id="85"/>
      </w:r>
      <w:r w:rsidRPr="00475828">
        <w:rPr>
          <w:bCs/>
          <w:lang w:val="cs-CZ"/>
        </w:rPr>
        <w:t xml:space="preserve"> Finální rozhodnutí </w:t>
      </w:r>
      <w:r w:rsidR="00F21E62" w:rsidRPr="00475828">
        <w:rPr>
          <w:bCs/>
          <w:lang w:val="cs-CZ"/>
        </w:rPr>
        <w:t xml:space="preserve">Komise </w:t>
      </w:r>
      <w:r w:rsidRPr="00475828">
        <w:rPr>
          <w:bCs/>
          <w:lang w:val="cs-CZ"/>
        </w:rPr>
        <w:t>stanovilo</w:t>
      </w:r>
      <w:r w:rsidR="00F21E62" w:rsidRPr="00475828">
        <w:rPr>
          <w:bCs/>
          <w:lang w:val="cs-CZ"/>
        </w:rPr>
        <w:t>, že</w:t>
      </w:r>
      <w:r w:rsidR="00BA188E" w:rsidRPr="00475828">
        <w:rPr>
          <w:bCs/>
          <w:lang w:val="cs-CZ"/>
        </w:rPr>
        <w:t xml:space="preserve"> nejsou dány důvody pro aplikování čl. 81 odst. 1 SES (dnes čl. 101 odst. 1 SFEU) ve vztahu ke sdílení infrastruktury a výměny informací a</w:t>
      </w:r>
      <w:r w:rsidR="005B6DAB">
        <w:rPr>
          <w:bCs/>
          <w:lang w:val="cs-CZ"/>
        </w:rPr>
        <w:t> </w:t>
      </w:r>
      <w:r w:rsidR="00BA188E" w:rsidRPr="00475828">
        <w:rPr>
          <w:bCs/>
          <w:lang w:val="cs-CZ"/>
        </w:rPr>
        <w:t>že</w:t>
      </w:r>
      <w:r w:rsidR="005B6DAB">
        <w:rPr>
          <w:bCs/>
          <w:lang w:val="cs-CZ"/>
        </w:rPr>
        <w:t> </w:t>
      </w:r>
      <w:r w:rsidR="00F21E62" w:rsidRPr="00475828">
        <w:rPr>
          <w:bCs/>
          <w:lang w:val="cs-CZ"/>
        </w:rPr>
        <w:t xml:space="preserve">jsou dány důvody pro aplikování výjimky dle čl. 81 odst. 3 </w:t>
      </w:r>
      <w:r w:rsidR="00BA188E" w:rsidRPr="00475828">
        <w:rPr>
          <w:bCs/>
          <w:lang w:val="cs-CZ"/>
        </w:rPr>
        <w:t>SES (101 odst. 3 SFEU</w:t>
      </w:r>
      <w:r w:rsidR="00F21E62" w:rsidRPr="00475828">
        <w:rPr>
          <w:bCs/>
          <w:lang w:val="cs-CZ"/>
        </w:rPr>
        <w:t>)</w:t>
      </w:r>
      <w:r w:rsidR="00BA188E" w:rsidRPr="00475828">
        <w:rPr>
          <w:bCs/>
          <w:lang w:val="cs-CZ"/>
        </w:rPr>
        <w:t xml:space="preserve"> ve vztahu k závazku národního roamingu</w:t>
      </w:r>
      <w:r w:rsidR="00F21E62" w:rsidRPr="00475828">
        <w:rPr>
          <w:bCs/>
          <w:lang w:val="cs-CZ"/>
        </w:rPr>
        <w:t xml:space="preserve">, ovšem pod podmínkou, že závazek národního roamingu </w:t>
      </w:r>
      <w:r w:rsidR="00015FA7" w:rsidRPr="00475828">
        <w:rPr>
          <w:bCs/>
          <w:lang w:val="cs-CZ"/>
        </w:rPr>
        <w:t>bude omezen na určitý počet let</w:t>
      </w:r>
      <w:r w:rsidR="00F21E62" w:rsidRPr="00475828">
        <w:rPr>
          <w:bCs/>
          <w:lang w:val="cs-CZ"/>
        </w:rPr>
        <w:t xml:space="preserve">. Strany dohody o sdílení se odvolaly k Tribunálu, který </w:t>
      </w:r>
      <w:r w:rsidR="00BA188E" w:rsidRPr="00475828">
        <w:rPr>
          <w:bCs/>
          <w:lang w:val="cs-CZ"/>
        </w:rPr>
        <w:t>konstatova</w:t>
      </w:r>
      <w:r w:rsidR="00443271">
        <w:rPr>
          <w:bCs/>
          <w:lang w:val="cs-CZ"/>
        </w:rPr>
        <w:t>l</w:t>
      </w:r>
      <w:r w:rsidR="00F21E62" w:rsidRPr="00475828">
        <w:rPr>
          <w:bCs/>
          <w:lang w:val="cs-CZ"/>
        </w:rPr>
        <w:t xml:space="preserve">, že Komise nedostatečně provedla analýzu trhu, zejména, že neprovedla podrobnou analýzu situace, která by existovala v případě neexistence dohody, </w:t>
      </w:r>
      <w:r w:rsidR="00A4416B" w:rsidRPr="00475828">
        <w:rPr>
          <w:bCs/>
          <w:lang w:val="cs-CZ"/>
        </w:rPr>
        <w:t xml:space="preserve">a </w:t>
      </w:r>
      <w:r w:rsidR="00036F85">
        <w:rPr>
          <w:bCs/>
          <w:lang w:val="cs-CZ"/>
        </w:rPr>
        <w:t>proto</w:t>
      </w:r>
      <w:r w:rsidR="00A4416B" w:rsidRPr="00475828">
        <w:rPr>
          <w:bCs/>
          <w:lang w:val="cs-CZ"/>
        </w:rPr>
        <w:t xml:space="preserve"> zrušil rozhodnutí Komise</w:t>
      </w:r>
      <w:r w:rsidR="00BA188E" w:rsidRPr="00475828">
        <w:rPr>
          <w:bCs/>
          <w:lang w:val="cs-CZ"/>
        </w:rPr>
        <w:t>, kterým byl závazek národního roamingu časově omezen</w:t>
      </w:r>
      <w:r w:rsidR="00A4416B" w:rsidRPr="00475828">
        <w:rPr>
          <w:bCs/>
          <w:lang w:val="cs-CZ"/>
        </w:rPr>
        <w:t xml:space="preserve">. </w:t>
      </w:r>
    </w:p>
    <w:p w14:paraId="45814AB3" w14:textId="77777777" w:rsidR="009643E0" w:rsidRPr="00475828" w:rsidRDefault="009643E0" w:rsidP="005916AF">
      <w:pPr>
        <w:numPr>
          <w:ilvl w:val="2"/>
          <w:numId w:val="3"/>
        </w:numPr>
        <w:rPr>
          <w:bCs/>
          <w:i/>
          <w:lang w:val="cs-CZ"/>
        </w:rPr>
      </w:pPr>
      <w:r w:rsidRPr="00475828">
        <w:rPr>
          <w:bCs/>
          <w:i/>
          <w:lang w:val="cs-CZ"/>
        </w:rPr>
        <w:t xml:space="preserve">Vstup </w:t>
      </w:r>
      <w:proofErr w:type="spellStart"/>
      <w:r w:rsidRPr="00475828">
        <w:rPr>
          <w:bCs/>
          <w:i/>
          <w:lang w:val="cs-CZ"/>
        </w:rPr>
        <w:t>Three</w:t>
      </w:r>
      <w:proofErr w:type="spellEnd"/>
      <w:r w:rsidRPr="00475828">
        <w:rPr>
          <w:bCs/>
          <w:i/>
          <w:lang w:val="cs-CZ"/>
        </w:rPr>
        <w:t xml:space="preserve"> na trh </w:t>
      </w:r>
    </w:p>
    <w:p w14:paraId="0C1B9264" w14:textId="77777777" w:rsidR="00B136D5" w:rsidRDefault="009643E0" w:rsidP="005916AF">
      <w:pPr>
        <w:ind w:firstLine="567"/>
        <w:rPr>
          <w:bCs/>
          <w:lang w:val="cs-CZ"/>
        </w:rPr>
      </w:pPr>
      <w:r w:rsidRPr="00475828">
        <w:rPr>
          <w:bCs/>
          <w:lang w:val="cs-CZ"/>
        </w:rPr>
        <w:t xml:space="preserve">Do roku 2003, kdy na trh vstoupil operátor </w:t>
      </w:r>
      <w:proofErr w:type="spellStart"/>
      <w:r w:rsidRPr="00475828">
        <w:rPr>
          <w:bCs/>
          <w:lang w:val="cs-CZ"/>
        </w:rPr>
        <w:t>Three</w:t>
      </w:r>
      <w:proofErr w:type="spellEnd"/>
      <w:r w:rsidRPr="00475828">
        <w:rPr>
          <w:bCs/>
          <w:lang w:val="cs-CZ"/>
        </w:rPr>
        <w:t xml:space="preserve"> (součástí skupiny </w:t>
      </w:r>
      <w:proofErr w:type="spellStart"/>
      <w:r w:rsidRPr="00475828">
        <w:rPr>
          <w:bCs/>
          <w:lang w:val="cs-CZ"/>
        </w:rPr>
        <w:t>Hutchison</w:t>
      </w:r>
      <w:proofErr w:type="spellEnd"/>
      <w:r w:rsidRPr="00475828">
        <w:rPr>
          <w:bCs/>
          <w:lang w:val="cs-CZ"/>
        </w:rPr>
        <w:t xml:space="preserve"> </w:t>
      </w:r>
      <w:proofErr w:type="spellStart"/>
      <w:r w:rsidRPr="00475828">
        <w:rPr>
          <w:bCs/>
          <w:lang w:val="cs-CZ"/>
        </w:rPr>
        <w:t>Whampoa</w:t>
      </w:r>
      <w:proofErr w:type="spellEnd"/>
      <w:r w:rsidRPr="00475828">
        <w:rPr>
          <w:bCs/>
          <w:lang w:val="cs-CZ"/>
        </w:rPr>
        <w:t xml:space="preserve">), byli ve Velké Británii 4 operátoři (O2, T-Mobile, Vodafone a Orange). </w:t>
      </w:r>
      <w:r w:rsidR="00DD62D8">
        <w:rPr>
          <w:bCs/>
          <w:lang w:val="cs-CZ"/>
        </w:rPr>
        <w:t xml:space="preserve">Operátor </w:t>
      </w:r>
      <w:proofErr w:type="spellStart"/>
      <w:r w:rsidRPr="00475828">
        <w:rPr>
          <w:bCs/>
          <w:lang w:val="cs-CZ"/>
        </w:rPr>
        <w:t>Three</w:t>
      </w:r>
      <w:proofErr w:type="spellEnd"/>
      <w:r w:rsidRPr="00475828">
        <w:rPr>
          <w:bCs/>
          <w:lang w:val="cs-CZ"/>
        </w:rPr>
        <w:t xml:space="preserve"> nemá frekvence na poskytování 2G sítě a tudíž provozuje svou 3G síť samostatně a 2G služby poskytuje svým zákazníkům na základě smlouvy obsahující závazek národního roamingu nejdříve od O2 a</w:t>
      </w:r>
      <w:r w:rsidR="00247FC2">
        <w:rPr>
          <w:bCs/>
          <w:lang w:val="cs-CZ"/>
        </w:rPr>
        <w:t> </w:t>
      </w:r>
      <w:r w:rsidRPr="00475828">
        <w:rPr>
          <w:bCs/>
          <w:lang w:val="cs-CZ"/>
        </w:rPr>
        <w:t xml:space="preserve">následně od Orange. Vstup pátého MNO na trh vedl ke značnému zlepšení hospodářské soutěže, jelikož </w:t>
      </w:r>
      <w:proofErr w:type="spellStart"/>
      <w:r w:rsidRPr="00475828">
        <w:rPr>
          <w:bCs/>
          <w:lang w:val="cs-CZ"/>
        </w:rPr>
        <w:t>Three</w:t>
      </w:r>
      <w:proofErr w:type="spellEnd"/>
      <w:r w:rsidRPr="00475828">
        <w:rPr>
          <w:bCs/>
          <w:lang w:val="cs-CZ"/>
        </w:rPr>
        <w:t xml:space="preserve"> svou agresivní cenovou politikou tlačil na stávající operátory a zároveň na trh uváděl nová technologická řešení, která vedla ke zvýšení investic do inovací obecně.</w:t>
      </w:r>
      <w:r w:rsidRPr="00475828">
        <w:rPr>
          <w:rStyle w:val="Znakapoznpodarou"/>
          <w:bCs/>
          <w:lang w:val="cs-CZ"/>
        </w:rPr>
        <w:footnoteReference w:id="86"/>
      </w:r>
      <w:r w:rsidRPr="00475828">
        <w:rPr>
          <w:bCs/>
          <w:lang w:val="cs-CZ"/>
        </w:rPr>
        <w:t xml:space="preserve"> </w:t>
      </w:r>
    </w:p>
    <w:p w14:paraId="18CBC63F" w14:textId="77777777" w:rsidR="00B136D5" w:rsidRDefault="00B136D5" w:rsidP="005916AF">
      <w:pPr>
        <w:spacing w:before="0" w:after="0" w:line="240" w:lineRule="auto"/>
        <w:jc w:val="left"/>
        <w:rPr>
          <w:bCs/>
          <w:lang w:val="cs-CZ"/>
        </w:rPr>
      </w:pPr>
      <w:r>
        <w:rPr>
          <w:bCs/>
          <w:lang w:val="cs-CZ"/>
        </w:rPr>
        <w:br w:type="page"/>
      </w:r>
    </w:p>
    <w:p w14:paraId="5C81100A" w14:textId="77777777" w:rsidR="00A15AC4" w:rsidRPr="00475828" w:rsidRDefault="00022AAB" w:rsidP="005916AF">
      <w:pPr>
        <w:numPr>
          <w:ilvl w:val="2"/>
          <w:numId w:val="3"/>
        </w:numPr>
        <w:rPr>
          <w:bCs/>
          <w:i/>
          <w:lang w:val="cs-CZ"/>
        </w:rPr>
      </w:pPr>
      <w:r w:rsidRPr="00475828">
        <w:rPr>
          <w:bCs/>
          <w:i/>
          <w:lang w:val="cs-CZ"/>
        </w:rPr>
        <w:t xml:space="preserve">Dohoda mezi EE a </w:t>
      </w:r>
      <w:proofErr w:type="spellStart"/>
      <w:r w:rsidRPr="00475828">
        <w:rPr>
          <w:bCs/>
          <w:i/>
          <w:lang w:val="cs-CZ"/>
        </w:rPr>
        <w:t>Three</w:t>
      </w:r>
      <w:proofErr w:type="spellEnd"/>
    </w:p>
    <w:p w14:paraId="5E512F77" w14:textId="77777777" w:rsidR="00F146B6" w:rsidRPr="00475828" w:rsidRDefault="00F146B6" w:rsidP="005916AF">
      <w:pPr>
        <w:pStyle w:val="Odstavecseseznamem"/>
        <w:numPr>
          <w:ilvl w:val="0"/>
          <w:numId w:val="23"/>
        </w:numPr>
        <w:rPr>
          <w:bCs/>
          <w:i/>
          <w:lang w:val="cs-CZ"/>
        </w:rPr>
      </w:pPr>
      <w:r w:rsidRPr="00475828">
        <w:rPr>
          <w:bCs/>
          <w:i/>
          <w:lang w:val="cs-CZ"/>
        </w:rPr>
        <w:t xml:space="preserve">Smluvní rámec sdílení </w:t>
      </w:r>
    </w:p>
    <w:p w14:paraId="6B96CE48" w14:textId="77777777" w:rsidR="00A12D73" w:rsidRPr="00475828" w:rsidRDefault="00022AAB" w:rsidP="005916AF">
      <w:pPr>
        <w:ind w:firstLine="567"/>
        <w:rPr>
          <w:bCs/>
          <w:lang w:val="cs-CZ"/>
        </w:rPr>
      </w:pPr>
      <w:r w:rsidRPr="00475828">
        <w:rPr>
          <w:bCs/>
          <w:lang w:val="cs-CZ"/>
        </w:rPr>
        <w:t xml:space="preserve">V roce 2007 oznámili </w:t>
      </w:r>
      <w:r w:rsidR="00DD62D8">
        <w:rPr>
          <w:bCs/>
          <w:lang w:val="cs-CZ"/>
        </w:rPr>
        <w:t>operátoři</w:t>
      </w:r>
      <w:r w:rsidR="00036F85">
        <w:rPr>
          <w:bCs/>
          <w:lang w:val="cs-CZ"/>
        </w:rPr>
        <w:t xml:space="preserve"> </w:t>
      </w:r>
      <w:r w:rsidRPr="00475828">
        <w:rPr>
          <w:bCs/>
          <w:lang w:val="cs-CZ"/>
        </w:rPr>
        <w:t xml:space="preserve">T-Mobile a </w:t>
      </w:r>
      <w:proofErr w:type="spellStart"/>
      <w:r w:rsidRPr="00475828">
        <w:rPr>
          <w:bCs/>
          <w:lang w:val="cs-CZ"/>
        </w:rPr>
        <w:t>Three</w:t>
      </w:r>
      <w:proofErr w:type="spellEnd"/>
      <w:r w:rsidRPr="00475828">
        <w:rPr>
          <w:bCs/>
          <w:lang w:val="cs-CZ"/>
        </w:rPr>
        <w:t xml:space="preserve"> plán sdílet 3G sítě formou RAN </w:t>
      </w:r>
      <w:proofErr w:type="spellStart"/>
      <w:r w:rsidRPr="00475828">
        <w:rPr>
          <w:bCs/>
          <w:lang w:val="cs-CZ"/>
        </w:rPr>
        <w:t>sharingu</w:t>
      </w:r>
      <w:proofErr w:type="spellEnd"/>
      <w:r w:rsidRPr="00475828">
        <w:rPr>
          <w:bCs/>
          <w:lang w:val="cs-CZ"/>
        </w:rPr>
        <w:t>.</w:t>
      </w:r>
      <w:r w:rsidRPr="00475828">
        <w:rPr>
          <w:rStyle w:val="Znakapoznpodarou"/>
          <w:bCs/>
          <w:lang w:val="cs-CZ"/>
        </w:rPr>
        <w:footnoteReference w:id="87"/>
      </w:r>
      <w:r w:rsidRPr="00475828">
        <w:rPr>
          <w:bCs/>
          <w:lang w:val="cs-CZ"/>
        </w:rPr>
        <w:t xml:space="preserve"> 2G sítě sdíleny nebyly, jelikož </w:t>
      </w:r>
      <w:proofErr w:type="spellStart"/>
      <w:r w:rsidRPr="00475828">
        <w:rPr>
          <w:bCs/>
          <w:lang w:val="cs-CZ"/>
        </w:rPr>
        <w:t>Three</w:t>
      </w:r>
      <w:proofErr w:type="spellEnd"/>
      <w:r w:rsidRPr="00475828">
        <w:rPr>
          <w:bCs/>
          <w:lang w:val="cs-CZ"/>
        </w:rPr>
        <w:t xml:space="preserve"> ani žádnou 2G sítí nedisponoval</w:t>
      </w:r>
      <w:r w:rsidR="00590AE4" w:rsidRPr="00475828">
        <w:rPr>
          <w:bCs/>
          <w:lang w:val="cs-CZ"/>
        </w:rPr>
        <w:t>.</w:t>
      </w:r>
      <w:r w:rsidR="00590AE4" w:rsidRPr="00475828">
        <w:rPr>
          <w:rStyle w:val="Znakapoznpodarou"/>
          <w:bCs/>
          <w:lang w:val="cs-CZ"/>
        </w:rPr>
        <w:footnoteReference w:id="88"/>
      </w:r>
      <w:r w:rsidR="009643E0" w:rsidRPr="00475828">
        <w:rPr>
          <w:bCs/>
          <w:lang w:val="cs-CZ"/>
        </w:rPr>
        <w:t xml:space="preserve"> </w:t>
      </w:r>
      <w:r w:rsidRPr="00475828">
        <w:rPr>
          <w:bCs/>
          <w:lang w:val="cs-CZ"/>
        </w:rPr>
        <w:t xml:space="preserve">Operátoři v rámci dohody založili </w:t>
      </w:r>
      <w:r w:rsidR="00F146B6" w:rsidRPr="00475828">
        <w:rPr>
          <w:bCs/>
          <w:lang w:val="cs-CZ"/>
        </w:rPr>
        <w:t>joint venture</w:t>
      </w:r>
      <w:r w:rsidRPr="00475828">
        <w:rPr>
          <w:bCs/>
          <w:lang w:val="cs-CZ"/>
        </w:rPr>
        <w:t xml:space="preserve"> společnost </w:t>
      </w:r>
      <w:r w:rsidR="00F146B6" w:rsidRPr="00475828">
        <w:rPr>
          <w:bCs/>
          <w:lang w:val="cs-CZ"/>
        </w:rPr>
        <w:t>„</w:t>
      </w:r>
      <w:r w:rsidRPr="00475828">
        <w:rPr>
          <w:bCs/>
          <w:lang w:val="cs-CZ"/>
        </w:rPr>
        <w:t xml:space="preserve">Mobile </w:t>
      </w:r>
      <w:proofErr w:type="spellStart"/>
      <w:r w:rsidRPr="00475828">
        <w:rPr>
          <w:bCs/>
          <w:lang w:val="cs-CZ"/>
        </w:rPr>
        <w:t>Broadband</w:t>
      </w:r>
      <w:proofErr w:type="spellEnd"/>
      <w:r w:rsidRPr="00475828">
        <w:rPr>
          <w:bCs/>
          <w:lang w:val="cs-CZ"/>
        </w:rPr>
        <w:t xml:space="preserve"> Network Limited</w:t>
      </w:r>
      <w:r w:rsidR="00F146B6" w:rsidRPr="00475828">
        <w:rPr>
          <w:bCs/>
          <w:lang w:val="cs-CZ"/>
        </w:rPr>
        <w:t xml:space="preserve">“ </w:t>
      </w:r>
      <w:r w:rsidRPr="00475828">
        <w:rPr>
          <w:bCs/>
          <w:lang w:val="cs-CZ"/>
        </w:rPr>
        <w:t>(MBNL), pod níž byla svěřena konsolidace nezávislých sítí a následné poskytování a řízení sdílení 3G sítě. Operátoři si ovšem ponechali oddělenou kontrolu nad páteřní sítí, jádrem sítě i vlastními frekvencemi.</w:t>
      </w:r>
      <w:r w:rsidRPr="00475828">
        <w:rPr>
          <w:rStyle w:val="Znakapoznpodarou"/>
          <w:bCs/>
          <w:lang w:val="cs-CZ"/>
        </w:rPr>
        <w:footnoteReference w:id="89"/>
      </w:r>
      <w:r w:rsidRPr="00475828">
        <w:rPr>
          <w:bCs/>
          <w:lang w:val="cs-CZ"/>
        </w:rPr>
        <w:t xml:space="preserve"> </w:t>
      </w:r>
    </w:p>
    <w:p w14:paraId="13748922" w14:textId="77777777" w:rsidR="00F146B6" w:rsidRPr="00475828" w:rsidRDefault="00F146B6" w:rsidP="005916AF">
      <w:pPr>
        <w:pStyle w:val="Odstavecseseznamem"/>
        <w:numPr>
          <w:ilvl w:val="0"/>
          <w:numId w:val="23"/>
        </w:numPr>
        <w:rPr>
          <w:bCs/>
          <w:i/>
          <w:lang w:val="cs-CZ"/>
        </w:rPr>
      </w:pPr>
      <w:r w:rsidRPr="00475828">
        <w:rPr>
          <w:bCs/>
          <w:i/>
          <w:lang w:val="cs-CZ"/>
        </w:rPr>
        <w:t>Revize dohody o sdílení v důsledku spojení Orange a T-Mobile</w:t>
      </w:r>
    </w:p>
    <w:p w14:paraId="78BDA342" w14:textId="60B28799" w:rsidR="00022AAB" w:rsidRPr="00475828" w:rsidRDefault="00022AAB" w:rsidP="005916AF">
      <w:pPr>
        <w:ind w:firstLine="567"/>
        <w:rPr>
          <w:bCs/>
          <w:lang w:val="cs-CZ"/>
        </w:rPr>
      </w:pPr>
      <w:r w:rsidRPr="00475828">
        <w:rPr>
          <w:bCs/>
          <w:lang w:val="cs-CZ"/>
        </w:rPr>
        <w:t xml:space="preserve">Ke změně došlo v roce 2010, kdy </w:t>
      </w:r>
      <w:r w:rsidR="00F146B6" w:rsidRPr="00475828">
        <w:rPr>
          <w:bCs/>
          <w:lang w:val="cs-CZ"/>
        </w:rPr>
        <w:t xml:space="preserve">Komise </w:t>
      </w:r>
      <w:r w:rsidR="00727320" w:rsidRPr="00475828">
        <w:rPr>
          <w:bCs/>
          <w:lang w:val="cs-CZ"/>
        </w:rPr>
        <w:t xml:space="preserve">schválila spojení operátorů T-Mobile a Orange pod společnou entitu </w:t>
      </w:r>
      <w:proofErr w:type="spellStart"/>
      <w:r w:rsidR="00727320" w:rsidRPr="00475828">
        <w:rPr>
          <w:bCs/>
          <w:lang w:val="cs-CZ"/>
        </w:rPr>
        <w:t>Everything</w:t>
      </w:r>
      <w:proofErr w:type="spellEnd"/>
      <w:r w:rsidR="00727320" w:rsidRPr="00475828">
        <w:rPr>
          <w:bCs/>
          <w:lang w:val="cs-CZ"/>
        </w:rPr>
        <w:t xml:space="preserve"> </w:t>
      </w:r>
      <w:proofErr w:type="spellStart"/>
      <w:r w:rsidR="00727320" w:rsidRPr="00475828">
        <w:rPr>
          <w:bCs/>
          <w:lang w:val="cs-CZ"/>
        </w:rPr>
        <w:t>Everywhere</w:t>
      </w:r>
      <w:proofErr w:type="spellEnd"/>
      <w:r w:rsidR="00F813C8" w:rsidRPr="00475828">
        <w:rPr>
          <w:bCs/>
          <w:lang w:val="cs-CZ"/>
        </w:rPr>
        <w:t xml:space="preserve"> (EE)</w:t>
      </w:r>
      <w:r w:rsidR="00727320" w:rsidRPr="00475828">
        <w:rPr>
          <w:bCs/>
          <w:lang w:val="cs-CZ"/>
        </w:rPr>
        <w:t>.</w:t>
      </w:r>
      <w:r w:rsidR="00727320" w:rsidRPr="00475828">
        <w:rPr>
          <w:rStyle w:val="Znakapoznpodarou"/>
          <w:bCs/>
          <w:lang w:val="cs-CZ"/>
        </w:rPr>
        <w:footnoteReference w:id="90"/>
      </w:r>
      <w:r w:rsidR="00E31EB9" w:rsidRPr="00E31EB9">
        <w:rPr>
          <w:sz w:val="16"/>
          <w:vertAlign w:val="superscript"/>
          <w:lang w:val="cs-CZ"/>
        </w:rPr>
        <w:t xml:space="preserve"> ,</w:t>
      </w:r>
      <w:r w:rsidR="00727320" w:rsidRPr="00475828">
        <w:rPr>
          <w:rStyle w:val="Znakapoznpodarou"/>
          <w:bCs/>
          <w:lang w:val="cs-CZ"/>
        </w:rPr>
        <w:footnoteReference w:id="91"/>
      </w:r>
      <w:r w:rsidR="00727320" w:rsidRPr="00475828">
        <w:rPr>
          <w:bCs/>
          <w:lang w:val="cs-CZ"/>
        </w:rPr>
        <w:t xml:space="preserve"> </w:t>
      </w:r>
      <w:r w:rsidR="00F813C8" w:rsidRPr="00475828">
        <w:rPr>
          <w:bCs/>
          <w:lang w:val="cs-CZ"/>
        </w:rPr>
        <w:t xml:space="preserve">Operátor </w:t>
      </w:r>
      <w:proofErr w:type="spellStart"/>
      <w:r w:rsidR="00F813C8" w:rsidRPr="00475828">
        <w:rPr>
          <w:bCs/>
          <w:lang w:val="cs-CZ"/>
        </w:rPr>
        <w:t>Three</w:t>
      </w:r>
      <w:proofErr w:type="spellEnd"/>
      <w:r w:rsidR="00F813C8" w:rsidRPr="00475828">
        <w:rPr>
          <w:bCs/>
          <w:lang w:val="cs-CZ"/>
        </w:rPr>
        <w:t xml:space="preserve"> podal Komisi připomínky, že plánované spojení by mohlo zásadním způsobem ohrozit jeho fungování na</w:t>
      </w:r>
      <w:r w:rsidR="005B6DAB">
        <w:rPr>
          <w:bCs/>
          <w:lang w:val="cs-CZ"/>
        </w:rPr>
        <w:t> </w:t>
      </w:r>
      <w:r w:rsidR="00F813C8" w:rsidRPr="00475828">
        <w:rPr>
          <w:bCs/>
          <w:lang w:val="cs-CZ"/>
        </w:rPr>
        <w:t xml:space="preserve">trhu mobilních sítí. </w:t>
      </w:r>
      <w:proofErr w:type="spellStart"/>
      <w:r w:rsidR="00F813C8" w:rsidRPr="00475828">
        <w:rPr>
          <w:bCs/>
          <w:lang w:val="cs-CZ"/>
        </w:rPr>
        <w:t>Three</w:t>
      </w:r>
      <w:proofErr w:type="spellEnd"/>
      <w:r w:rsidR="00F813C8" w:rsidRPr="00475828">
        <w:rPr>
          <w:bCs/>
          <w:lang w:val="cs-CZ"/>
        </w:rPr>
        <w:t xml:space="preserve"> je totiž jediným operátorem, který drží spektrum a provozuje své sítě pouze na frekvencích pro 3G sítě a je odkázán na národní roaming pro 2G sítě </w:t>
      </w:r>
      <w:r w:rsidR="00036F85">
        <w:rPr>
          <w:bCs/>
          <w:lang w:val="cs-CZ"/>
        </w:rPr>
        <w:t>S</w:t>
      </w:r>
      <w:r w:rsidR="00F813C8" w:rsidRPr="00475828">
        <w:rPr>
          <w:bCs/>
          <w:lang w:val="cs-CZ"/>
        </w:rPr>
        <w:t xml:space="preserve">pojení mezi </w:t>
      </w:r>
      <w:r w:rsidR="007061E0">
        <w:rPr>
          <w:bCs/>
          <w:lang w:val="cs-CZ"/>
        </w:rPr>
        <w:t xml:space="preserve">společností </w:t>
      </w:r>
      <w:r w:rsidR="00F813C8" w:rsidRPr="00475828">
        <w:rPr>
          <w:bCs/>
          <w:lang w:val="cs-CZ"/>
        </w:rPr>
        <w:t xml:space="preserve">Orange, s níž má </w:t>
      </w:r>
      <w:proofErr w:type="spellStart"/>
      <w:r w:rsidR="00F813C8" w:rsidRPr="00475828">
        <w:rPr>
          <w:bCs/>
          <w:lang w:val="cs-CZ"/>
        </w:rPr>
        <w:t>Three</w:t>
      </w:r>
      <w:proofErr w:type="spellEnd"/>
      <w:r w:rsidR="00F813C8" w:rsidRPr="00475828">
        <w:rPr>
          <w:bCs/>
          <w:lang w:val="cs-CZ"/>
        </w:rPr>
        <w:t xml:space="preserve"> uzavřenou smlouvu o poskytování národního roamingu v sítí 2G, a</w:t>
      </w:r>
      <w:r w:rsidR="00247FC2">
        <w:rPr>
          <w:bCs/>
          <w:lang w:val="cs-CZ"/>
        </w:rPr>
        <w:t> </w:t>
      </w:r>
      <w:r w:rsidR="007061E0">
        <w:rPr>
          <w:bCs/>
          <w:lang w:val="cs-CZ"/>
        </w:rPr>
        <w:t xml:space="preserve">společností </w:t>
      </w:r>
      <w:r w:rsidR="00F813C8" w:rsidRPr="00475828">
        <w:rPr>
          <w:bCs/>
          <w:lang w:val="cs-CZ"/>
        </w:rPr>
        <w:t xml:space="preserve">T-Mobile, s níž má </w:t>
      </w:r>
      <w:proofErr w:type="spellStart"/>
      <w:r w:rsidR="00F813C8" w:rsidRPr="00475828">
        <w:rPr>
          <w:bCs/>
          <w:lang w:val="cs-CZ"/>
        </w:rPr>
        <w:t>Three</w:t>
      </w:r>
      <w:proofErr w:type="spellEnd"/>
      <w:r w:rsidR="00F813C8" w:rsidRPr="00475828">
        <w:rPr>
          <w:bCs/>
          <w:lang w:val="cs-CZ"/>
        </w:rPr>
        <w:t xml:space="preserve"> uzavřenou smlouvu o</w:t>
      </w:r>
      <w:r w:rsidR="00D15ACC" w:rsidRPr="00475828">
        <w:rPr>
          <w:bCs/>
          <w:lang w:val="cs-CZ"/>
        </w:rPr>
        <w:t xml:space="preserve"> RAN</w:t>
      </w:r>
      <w:r w:rsidR="00F813C8" w:rsidRPr="00475828">
        <w:rPr>
          <w:bCs/>
          <w:lang w:val="cs-CZ"/>
        </w:rPr>
        <w:t xml:space="preserve"> sdílení sítí 3G, by </w:t>
      </w:r>
      <w:r w:rsidR="00036F85">
        <w:rPr>
          <w:bCs/>
          <w:lang w:val="cs-CZ"/>
        </w:rPr>
        <w:t xml:space="preserve">tudíž </w:t>
      </w:r>
      <w:r w:rsidR="00F813C8" w:rsidRPr="00475828">
        <w:rPr>
          <w:bCs/>
          <w:lang w:val="cs-CZ"/>
        </w:rPr>
        <w:t xml:space="preserve">mohlo vést k vytěsnění </w:t>
      </w:r>
      <w:proofErr w:type="spellStart"/>
      <w:r w:rsidR="00F813C8" w:rsidRPr="00475828">
        <w:rPr>
          <w:bCs/>
          <w:lang w:val="cs-CZ"/>
        </w:rPr>
        <w:t>Three</w:t>
      </w:r>
      <w:proofErr w:type="spellEnd"/>
      <w:r w:rsidR="00F813C8" w:rsidRPr="00475828">
        <w:rPr>
          <w:bCs/>
          <w:lang w:val="cs-CZ"/>
        </w:rPr>
        <w:t xml:space="preserve"> z trhu, jelikož by nově vzniklá entita neměla motivaci udržovat dohody s </w:t>
      </w:r>
      <w:proofErr w:type="spellStart"/>
      <w:r w:rsidR="00F813C8" w:rsidRPr="00475828">
        <w:rPr>
          <w:bCs/>
          <w:lang w:val="cs-CZ"/>
        </w:rPr>
        <w:t>Three</w:t>
      </w:r>
      <w:proofErr w:type="spellEnd"/>
      <w:r w:rsidR="00F813C8" w:rsidRPr="00475828">
        <w:rPr>
          <w:bCs/>
          <w:lang w:val="cs-CZ"/>
        </w:rPr>
        <w:t>, který je na ně odkázán.</w:t>
      </w:r>
      <w:r w:rsidR="00D15ACC" w:rsidRPr="00475828">
        <w:rPr>
          <w:rStyle w:val="Znakapoznpodarou"/>
          <w:bCs/>
          <w:lang w:val="cs-CZ"/>
        </w:rPr>
        <w:footnoteReference w:id="92"/>
      </w:r>
      <w:r w:rsidR="00F813C8" w:rsidRPr="00475828">
        <w:rPr>
          <w:bCs/>
          <w:lang w:val="cs-CZ"/>
        </w:rPr>
        <w:t xml:space="preserve"> Komise</w:t>
      </w:r>
      <w:r w:rsidR="007061E0">
        <w:rPr>
          <w:bCs/>
          <w:lang w:val="cs-CZ"/>
        </w:rPr>
        <w:t xml:space="preserve"> a</w:t>
      </w:r>
      <w:r w:rsidR="007061E0" w:rsidRPr="00475828">
        <w:rPr>
          <w:bCs/>
          <w:lang w:val="cs-CZ"/>
        </w:rPr>
        <w:t xml:space="preserve"> </w:t>
      </w:r>
      <w:r w:rsidR="00F813C8" w:rsidRPr="00475828">
        <w:rPr>
          <w:bCs/>
          <w:lang w:val="cs-CZ"/>
        </w:rPr>
        <w:t xml:space="preserve">společně s ní i </w:t>
      </w:r>
      <w:r w:rsidR="004A2901">
        <w:rPr>
          <w:bCs/>
          <w:lang w:val="cs-CZ"/>
        </w:rPr>
        <w:t>OFCOM</w:t>
      </w:r>
      <w:r w:rsidR="004A2901" w:rsidRPr="00475828">
        <w:rPr>
          <w:bCs/>
          <w:lang w:val="cs-CZ"/>
        </w:rPr>
        <w:t xml:space="preserve"> </w:t>
      </w:r>
      <w:r w:rsidR="00F813C8" w:rsidRPr="00475828">
        <w:rPr>
          <w:bCs/>
          <w:lang w:val="cs-CZ"/>
        </w:rPr>
        <w:t xml:space="preserve">a </w:t>
      </w:r>
      <w:r w:rsidR="00036F85">
        <w:rPr>
          <w:bCs/>
          <w:lang w:val="cs-CZ"/>
        </w:rPr>
        <w:t>OFT</w:t>
      </w:r>
      <w:r w:rsidR="00F813C8" w:rsidRPr="004A2901">
        <w:rPr>
          <w:bCs/>
          <w:lang w:val="cs-CZ"/>
        </w:rPr>
        <w:t>,</w:t>
      </w:r>
      <w:r w:rsidR="00D73AE2">
        <w:rPr>
          <w:bCs/>
          <w:lang w:val="cs-CZ"/>
        </w:rPr>
        <w:t xml:space="preserve"> regulační a </w:t>
      </w:r>
      <w:r w:rsidR="00F813C8" w:rsidRPr="00475828">
        <w:rPr>
          <w:bCs/>
          <w:lang w:val="cs-CZ"/>
        </w:rPr>
        <w:t>soutěžní úřady Velké Británie, vyjádřili s</w:t>
      </w:r>
      <w:r w:rsidR="00D15ACC" w:rsidRPr="00475828">
        <w:rPr>
          <w:bCs/>
          <w:lang w:val="cs-CZ"/>
        </w:rPr>
        <w:t xml:space="preserve">tejné obavy jako </w:t>
      </w:r>
      <w:proofErr w:type="spellStart"/>
      <w:r w:rsidR="00D15ACC" w:rsidRPr="00475828">
        <w:rPr>
          <w:bCs/>
          <w:lang w:val="cs-CZ"/>
        </w:rPr>
        <w:t>Three</w:t>
      </w:r>
      <w:proofErr w:type="spellEnd"/>
      <w:r w:rsidR="00D15ACC" w:rsidRPr="00475828">
        <w:rPr>
          <w:bCs/>
          <w:lang w:val="cs-CZ"/>
        </w:rPr>
        <w:t xml:space="preserve"> a</w:t>
      </w:r>
      <w:r w:rsidR="00247FC2">
        <w:rPr>
          <w:bCs/>
          <w:lang w:val="cs-CZ"/>
        </w:rPr>
        <w:t> </w:t>
      </w:r>
      <w:r w:rsidR="00D15ACC" w:rsidRPr="00475828">
        <w:rPr>
          <w:bCs/>
          <w:lang w:val="cs-CZ"/>
        </w:rPr>
        <w:t>stranám plánovaného spojení podniků</w:t>
      </w:r>
      <w:r w:rsidR="00F813C8" w:rsidRPr="00475828">
        <w:rPr>
          <w:bCs/>
          <w:lang w:val="cs-CZ"/>
        </w:rPr>
        <w:t xml:space="preserve"> byla uložena podmínka revize stávajících smluv tak, aby nebylo postavení </w:t>
      </w:r>
      <w:proofErr w:type="spellStart"/>
      <w:r w:rsidR="00F813C8" w:rsidRPr="00475828">
        <w:rPr>
          <w:bCs/>
          <w:lang w:val="cs-CZ"/>
        </w:rPr>
        <w:t>Three</w:t>
      </w:r>
      <w:proofErr w:type="spellEnd"/>
      <w:r w:rsidR="00F813C8" w:rsidRPr="00475828">
        <w:rPr>
          <w:bCs/>
          <w:lang w:val="cs-CZ"/>
        </w:rPr>
        <w:t xml:space="preserve"> v důsledku </w:t>
      </w:r>
      <w:r w:rsidR="00EE5ED9" w:rsidRPr="00475828">
        <w:rPr>
          <w:bCs/>
          <w:lang w:val="cs-CZ"/>
        </w:rPr>
        <w:t xml:space="preserve">spojení ohroženo a nemohlo dojít k omezení soutěže z pěti operátorů rovnou na tři, pokud by </w:t>
      </w:r>
      <w:proofErr w:type="spellStart"/>
      <w:r w:rsidR="00EE5ED9" w:rsidRPr="00475828">
        <w:rPr>
          <w:bCs/>
          <w:lang w:val="cs-CZ"/>
        </w:rPr>
        <w:t>Three</w:t>
      </w:r>
      <w:proofErr w:type="spellEnd"/>
      <w:r w:rsidR="00EE5ED9" w:rsidRPr="00475828">
        <w:rPr>
          <w:bCs/>
          <w:lang w:val="cs-CZ"/>
        </w:rPr>
        <w:t xml:space="preserve"> byl reálně vytěsněn.</w:t>
      </w:r>
      <w:r w:rsidR="00EE5ED9" w:rsidRPr="00475828">
        <w:rPr>
          <w:rStyle w:val="Znakapoznpodarou"/>
          <w:bCs/>
          <w:lang w:val="cs-CZ"/>
        </w:rPr>
        <w:footnoteReference w:id="93"/>
      </w:r>
      <w:r w:rsidR="00EE5ED9" w:rsidRPr="00475828">
        <w:rPr>
          <w:bCs/>
          <w:lang w:val="cs-CZ"/>
        </w:rPr>
        <w:t xml:space="preserve"> </w:t>
      </w:r>
    </w:p>
    <w:p w14:paraId="1E2D06E0" w14:textId="77777777" w:rsidR="00B136D5" w:rsidRDefault="00B6719E" w:rsidP="005916AF">
      <w:pPr>
        <w:rPr>
          <w:bCs/>
          <w:lang w:val="cs-CZ"/>
        </w:rPr>
      </w:pPr>
      <w:r w:rsidRPr="00475828">
        <w:rPr>
          <w:bCs/>
          <w:lang w:val="cs-CZ"/>
        </w:rPr>
        <w:t xml:space="preserve">V únoru roku 2014 oznámili operátoři </w:t>
      </w:r>
      <w:proofErr w:type="spellStart"/>
      <w:r w:rsidRPr="00475828">
        <w:rPr>
          <w:bCs/>
          <w:lang w:val="cs-CZ"/>
        </w:rPr>
        <w:t>Three</w:t>
      </w:r>
      <w:proofErr w:type="spellEnd"/>
      <w:r w:rsidRPr="00475828">
        <w:rPr>
          <w:bCs/>
          <w:lang w:val="cs-CZ"/>
        </w:rPr>
        <w:t xml:space="preserve"> a EE, že plánují dohodu rozšířit také na 4G sítě. Místo rozšíření RAN </w:t>
      </w:r>
      <w:proofErr w:type="spellStart"/>
      <w:r w:rsidRPr="00475828">
        <w:rPr>
          <w:bCs/>
          <w:lang w:val="cs-CZ"/>
        </w:rPr>
        <w:t>sharingu</w:t>
      </w:r>
      <w:proofErr w:type="spellEnd"/>
      <w:r w:rsidRPr="00475828">
        <w:rPr>
          <w:bCs/>
          <w:lang w:val="cs-CZ"/>
        </w:rPr>
        <w:t xml:space="preserve"> také na 4G se ovšem strany dohodly, že k </w:t>
      </w:r>
      <w:proofErr w:type="spellStart"/>
      <w:r w:rsidRPr="00475828">
        <w:rPr>
          <w:bCs/>
          <w:lang w:val="cs-CZ"/>
        </w:rPr>
        <w:t>roll-outu</w:t>
      </w:r>
      <w:proofErr w:type="spellEnd"/>
      <w:r w:rsidRPr="00475828">
        <w:rPr>
          <w:bCs/>
          <w:lang w:val="cs-CZ"/>
        </w:rPr>
        <w:t xml:space="preserve"> 4G sítí budou sdílet pouze pasivní infrastrukturu. Tato forma sdílení poskytuje větší volnost oběma operátorům co do volby strategie </w:t>
      </w:r>
      <w:proofErr w:type="spellStart"/>
      <w:r w:rsidRPr="00475828">
        <w:rPr>
          <w:bCs/>
          <w:lang w:val="cs-CZ"/>
        </w:rPr>
        <w:t>roll-outu</w:t>
      </w:r>
      <w:proofErr w:type="spellEnd"/>
      <w:r w:rsidRPr="00475828">
        <w:rPr>
          <w:bCs/>
          <w:lang w:val="cs-CZ"/>
        </w:rPr>
        <w:t>.</w:t>
      </w:r>
      <w:r w:rsidRPr="00475828">
        <w:rPr>
          <w:rStyle w:val="Znakapoznpodarou"/>
          <w:bCs/>
          <w:lang w:val="cs-CZ"/>
        </w:rPr>
        <w:footnoteReference w:id="94"/>
      </w:r>
      <w:r w:rsidRPr="00475828">
        <w:rPr>
          <w:bCs/>
          <w:lang w:val="cs-CZ"/>
        </w:rPr>
        <w:t xml:space="preserve">  </w:t>
      </w:r>
    </w:p>
    <w:p w14:paraId="406D886E" w14:textId="77777777" w:rsidR="00A15AC4" w:rsidRPr="00475828" w:rsidRDefault="00A15AC4" w:rsidP="005916AF">
      <w:pPr>
        <w:numPr>
          <w:ilvl w:val="2"/>
          <w:numId w:val="3"/>
        </w:numPr>
        <w:rPr>
          <w:bCs/>
          <w:i/>
          <w:lang w:val="cs-CZ"/>
        </w:rPr>
      </w:pPr>
      <w:r w:rsidRPr="00475828">
        <w:rPr>
          <w:bCs/>
          <w:i/>
          <w:lang w:val="cs-CZ"/>
        </w:rPr>
        <w:t xml:space="preserve">Dohoda mezi </w:t>
      </w:r>
      <w:r w:rsidR="00022AAB" w:rsidRPr="00475828">
        <w:rPr>
          <w:bCs/>
          <w:i/>
          <w:lang w:val="cs-CZ"/>
        </w:rPr>
        <w:t>Vodafone a O2</w:t>
      </w:r>
      <w:r w:rsidRPr="00475828">
        <w:rPr>
          <w:bCs/>
          <w:i/>
          <w:lang w:val="cs-CZ"/>
        </w:rPr>
        <w:t xml:space="preserve"> </w:t>
      </w:r>
    </w:p>
    <w:p w14:paraId="4517C19F" w14:textId="77777777" w:rsidR="00D15ACC" w:rsidRPr="00475828" w:rsidRDefault="00D15ACC" w:rsidP="005916AF">
      <w:pPr>
        <w:pStyle w:val="Odstavecseseznamem"/>
        <w:numPr>
          <w:ilvl w:val="0"/>
          <w:numId w:val="24"/>
        </w:numPr>
        <w:rPr>
          <w:bCs/>
          <w:i/>
          <w:lang w:val="cs-CZ"/>
        </w:rPr>
      </w:pPr>
      <w:r w:rsidRPr="00475828">
        <w:rPr>
          <w:bCs/>
          <w:i/>
          <w:lang w:val="cs-CZ"/>
        </w:rPr>
        <w:t xml:space="preserve">Smluvní rámec sdílení </w:t>
      </w:r>
    </w:p>
    <w:p w14:paraId="3B6BCC8D" w14:textId="77777777" w:rsidR="00D15ACC" w:rsidRPr="00475828" w:rsidRDefault="00022AAB" w:rsidP="005916AF">
      <w:pPr>
        <w:ind w:firstLine="567"/>
        <w:rPr>
          <w:bCs/>
          <w:lang w:val="cs-CZ"/>
        </w:rPr>
      </w:pPr>
      <w:r w:rsidRPr="00475828">
        <w:rPr>
          <w:bCs/>
          <w:lang w:val="cs-CZ"/>
        </w:rPr>
        <w:t>V</w:t>
      </w:r>
      <w:r w:rsidR="00AC6783">
        <w:rPr>
          <w:bCs/>
          <w:lang w:val="cs-CZ"/>
        </w:rPr>
        <w:t> </w:t>
      </w:r>
      <w:r w:rsidRPr="00475828">
        <w:rPr>
          <w:bCs/>
          <w:lang w:val="cs-CZ"/>
        </w:rPr>
        <w:t>roce 2009</w:t>
      </w:r>
      <w:r w:rsidRPr="00475828">
        <w:rPr>
          <w:rStyle w:val="Znakapoznpodarou"/>
          <w:bCs/>
          <w:lang w:val="cs-CZ"/>
        </w:rPr>
        <w:footnoteReference w:id="95"/>
      </w:r>
      <w:r w:rsidRPr="00475828">
        <w:rPr>
          <w:bCs/>
          <w:lang w:val="cs-CZ"/>
        </w:rPr>
        <w:t xml:space="preserve"> oznámili sdílení sítí také Vodafone s O2. Jedná se o podobný koncept sdílení</w:t>
      </w:r>
      <w:r w:rsidR="00D15ACC" w:rsidRPr="00475828">
        <w:rPr>
          <w:bCs/>
          <w:lang w:val="cs-CZ"/>
        </w:rPr>
        <w:t xml:space="preserve"> jako mezi </w:t>
      </w:r>
      <w:proofErr w:type="spellStart"/>
      <w:r w:rsidR="00D15ACC" w:rsidRPr="00475828">
        <w:rPr>
          <w:bCs/>
          <w:lang w:val="cs-CZ"/>
        </w:rPr>
        <w:t>Three</w:t>
      </w:r>
      <w:proofErr w:type="spellEnd"/>
      <w:r w:rsidR="00D15ACC" w:rsidRPr="00475828">
        <w:rPr>
          <w:bCs/>
          <w:lang w:val="cs-CZ"/>
        </w:rPr>
        <w:t xml:space="preserve"> a EE</w:t>
      </w:r>
      <w:r w:rsidRPr="00475828">
        <w:rPr>
          <w:bCs/>
          <w:lang w:val="cs-CZ"/>
        </w:rPr>
        <w:t xml:space="preserve">, kdy </w:t>
      </w:r>
      <w:r w:rsidR="00362F1E" w:rsidRPr="00475828">
        <w:rPr>
          <w:bCs/>
          <w:lang w:val="cs-CZ"/>
        </w:rPr>
        <w:t xml:space="preserve">operátoři </w:t>
      </w:r>
      <w:r w:rsidR="00D15ACC" w:rsidRPr="00475828">
        <w:rPr>
          <w:bCs/>
          <w:lang w:val="cs-CZ"/>
        </w:rPr>
        <w:t xml:space="preserve">nejprve </w:t>
      </w:r>
      <w:r w:rsidR="00362F1E" w:rsidRPr="00475828">
        <w:rPr>
          <w:bCs/>
          <w:lang w:val="cs-CZ"/>
        </w:rPr>
        <w:t xml:space="preserve">vytvořili společný tým nazvaný </w:t>
      </w:r>
      <w:proofErr w:type="spellStart"/>
      <w:r w:rsidR="00362F1E" w:rsidRPr="00475828">
        <w:rPr>
          <w:bCs/>
          <w:lang w:val="cs-CZ"/>
        </w:rPr>
        <w:t>Cornerstone</w:t>
      </w:r>
      <w:proofErr w:type="spellEnd"/>
      <w:r w:rsidR="00362F1E" w:rsidRPr="00475828">
        <w:rPr>
          <w:bCs/>
          <w:lang w:val="cs-CZ"/>
        </w:rPr>
        <w:t>, který dostal</w:t>
      </w:r>
      <w:r w:rsidRPr="00475828">
        <w:rPr>
          <w:bCs/>
          <w:lang w:val="cs-CZ"/>
        </w:rPr>
        <w:t xml:space="preserve"> </w:t>
      </w:r>
      <w:r w:rsidR="00362F1E" w:rsidRPr="00475828">
        <w:rPr>
          <w:bCs/>
          <w:lang w:val="cs-CZ"/>
        </w:rPr>
        <w:t>na starost správu</w:t>
      </w:r>
      <w:r w:rsidRPr="00475828">
        <w:rPr>
          <w:bCs/>
          <w:lang w:val="cs-CZ"/>
        </w:rPr>
        <w:t xml:space="preserve"> sdílen</w:t>
      </w:r>
      <w:r w:rsidR="00362F1E" w:rsidRPr="00475828">
        <w:rPr>
          <w:bCs/>
          <w:lang w:val="cs-CZ"/>
        </w:rPr>
        <w:t>é</w:t>
      </w:r>
      <w:r w:rsidRPr="00475828">
        <w:rPr>
          <w:bCs/>
          <w:lang w:val="cs-CZ"/>
        </w:rPr>
        <w:t xml:space="preserve"> pasivní infrastruktur</w:t>
      </w:r>
      <w:r w:rsidR="00362F1E" w:rsidRPr="00475828">
        <w:rPr>
          <w:bCs/>
          <w:lang w:val="cs-CZ"/>
        </w:rPr>
        <w:t>y</w:t>
      </w:r>
      <w:r w:rsidRPr="00475828">
        <w:rPr>
          <w:bCs/>
          <w:lang w:val="cs-CZ"/>
        </w:rPr>
        <w:t>. V roce 2012 došlo</w:t>
      </w:r>
      <w:r w:rsidR="00EE5ED9" w:rsidRPr="00475828">
        <w:rPr>
          <w:bCs/>
          <w:lang w:val="cs-CZ"/>
        </w:rPr>
        <w:t xml:space="preserve"> po schválení </w:t>
      </w:r>
      <w:r w:rsidR="004A2901">
        <w:rPr>
          <w:bCs/>
          <w:lang w:val="cs-CZ"/>
        </w:rPr>
        <w:t xml:space="preserve">OFT </w:t>
      </w:r>
      <w:r w:rsidR="00E81D21" w:rsidRPr="00475828">
        <w:rPr>
          <w:rStyle w:val="Znakapoznpodarou"/>
          <w:bCs/>
          <w:lang w:val="cs-CZ"/>
        </w:rPr>
        <w:footnoteReference w:id="96"/>
      </w:r>
      <w:r w:rsidR="004A2901">
        <w:rPr>
          <w:bCs/>
          <w:lang w:val="cs-CZ"/>
        </w:rPr>
        <w:t>,</w:t>
      </w:r>
      <w:r w:rsidRPr="00475828">
        <w:rPr>
          <w:bCs/>
          <w:lang w:val="cs-CZ"/>
        </w:rPr>
        <w:t xml:space="preserve"> k revizi dohody o sdílení</w:t>
      </w:r>
      <w:r w:rsidR="004A2901">
        <w:rPr>
          <w:bCs/>
          <w:lang w:val="cs-CZ"/>
        </w:rPr>
        <w:t xml:space="preserve"> </w:t>
      </w:r>
      <w:r w:rsidR="004A2901" w:rsidRPr="00475828">
        <w:rPr>
          <w:bCs/>
          <w:lang w:val="cs-CZ"/>
        </w:rPr>
        <w:t>mezi O2 a Vodafone</w:t>
      </w:r>
      <w:r w:rsidR="00B6719E" w:rsidRPr="00475828">
        <w:rPr>
          <w:bCs/>
          <w:lang w:val="cs-CZ"/>
        </w:rPr>
        <w:t xml:space="preserve"> v rámci tzv. Project </w:t>
      </w:r>
      <w:proofErr w:type="spellStart"/>
      <w:r w:rsidR="00B6719E" w:rsidRPr="00475828">
        <w:rPr>
          <w:bCs/>
          <w:lang w:val="cs-CZ"/>
        </w:rPr>
        <w:t>Beacon</w:t>
      </w:r>
      <w:proofErr w:type="spellEnd"/>
      <w:r w:rsidR="00B6719E" w:rsidRPr="00475828">
        <w:rPr>
          <w:rStyle w:val="Znakapoznpodarou"/>
          <w:bCs/>
          <w:lang w:val="cs-CZ"/>
        </w:rPr>
        <w:footnoteReference w:id="97"/>
      </w:r>
      <w:r w:rsidRPr="00475828">
        <w:rPr>
          <w:bCs/>
          <w:lang w:val="cs-CZ"/>
        </w:rPr>
        <w:t xml:space="preserve"> a sdílení pasivních prvků bylo rozšířeno také na prvky aktivní, tj. RAN.</w:t>
      </w:r>
      <w:r w:rsidR="00EE5ED9" w:rsidRPr="00475828">
        <w:rPr>
          <w:rStyle w:val="Znakapoznpodarou"/>
          <w:bCs/>
          <w:lang w:val="cs-CZ"/>
        </w:rPr>
        <w:footnoteReference w:id="98"/>
      </w:r>
      <w:r w:rsidR="00E81D21" w:rsidRPr="00475828">
        <w:rPr>
          <w:bCs/>
          <w:lang w:val="cs-CZ"/>
        </w:rPr>
        <w:t xml:space="preserve"> Operátoři ovšem vyloučili sdílení inteligentních částí sítí (tzv. </w:t>
      </w:r>
      <w:proofErr w:type="spellStart"/>
      <w:r w:rsidR="00E81D21" w:rsidRPr="00475828">
        <w:rPr>
          <w:bCs/>
          <w:lang w:val="cs-CZ"/>
        </w:rPr>
        <w:t>core</w:t>
      </w:r>
      <w:proofErr w:type="spellEnd"/>
      <w:r w:rsidR="00E81D21" w:rsidRPr="00475828">
        <w:rPr>
          <w:bCs/>
          <w:lang w:val="cs-CZ"/>
        </w:rPr>
        <w:t xml:space="preserve"> network) či samotného spektra, čímž nedojde k omezení soutěže na trhu nabízených služeb.</w:t>
      </w:r>
      <w:r w:rsidR="00E81D21" w:rsidRPr="00475828">
        <w:rPr>
          <w:rStyle w:val="Znakapoznpodarou"/>
          <w:bCs/>
          <w:lang w:val="cs-CZ"/>
        </w:rPr>
        <w:footnoteReference w:id="99"/>
      </w:r>
      <w:r w:rsidRPr="00475828">
        <w:rPr>
          <w:bCs/>
          <w:lang w:val="cs-CZ"/>
        </w:rPr>
        <w:t xml:space="preserve"> V rámci sdílení je území Velké Británie rozděleno na 2 geograficky oddělené části, východ a západ. A</w:t>
      </w:r>
      <w:r w:rsidR="00247FC2">
        <w:rPr>
          <w:bCs/>
          <w:lang w:val="cs-CZ"/>
        </w:rPr>
        <w:t> </w:t>
      </w:r>
      <w:r w:rsidRPr="00475828">
        <w:rPr>
          <w:bCs/>
          <w:lang w:val="cs-CZ"/>
        </w:rPr>
        <w:t>v každé ze dvou oblastí je jeden ze sdílejících operátorů tzv. hostitelem či provozovatelem,</w:t>
      </w:r>
      <w:r w:rsidRPr="00475828">
        <w:rPr>
          <w:rStyle w:val="Znakapoznpodarou"/>
          <w:bCs/>
          <w:lang w:val="cs-CZ"/>
        </w:rPr>
        <w:footnoteReference w:id="100"/>
      </w:r>
      <w:r w:rsidRPr="00475828">
        <w:rPr>
          <w:bCs/>
          <w:lang w:val="cs-CZ"/>
        </w:rPr>
        <w:t xml:space="preserve"> který provozuje sdílenou RAN infrastrukturu. Druhý operátor má právo se k této síti připojit a</w:t>
      </w:r>
      <w:r w:rsidR="00247FC2">
        <w:rPr>
          <w:bCs/>
          <w:lang w:val="cs-CZ"/>
        </w:rPr>
        <w:t> </w:t>
      </w:r>
      <w:r w:rsidRPr="00475828">
        <w:rPr>
          <w:bCs/>
          <w:lang w:val="cs-CZ"/>
        </w:rPr>
        <w:t>naopak povinnost poskytnout stejnou službu v</w:t>
      </w:r>
      <w:r w:rsidR="00D15ACC" w:rsidRPr="00475828">
        <w:rPr>
          <w:bCs/>
          <w:lang w:val="cs-CZ"/>
        </w:rPr>
        <w:t>e „své“</w:t>
      </w:r>
      <w:r w:rsidRPr="00475828">
        <w:rPr>
          <w:bCs/>
          <w:lang w:val="cs-CZ"/>
        </w:rPr>
        <w:t xml:space="preserve"> oblasti. </w:t>
      </w:r>
      <w:r w:rsidR="00D15ACC" w:rsidRPr="00475828">
        <w:rPr>
          <w:bCs/>
          <w:lang w:val="cs-CZ"/>
        </w:rPr>
        <w:t>Ze</w:t>
      </w:r>
      <w:r w:rsidRPr="00475828">
        <w:rPr>
          <w:bCs/>
          <w:lang w:val="cs-CZ"/>
        </w:rPr>
        <w:t> sdílení je</w:t>
      </w:r>
      <w:r w:rsidR="00D15ACC" w:rsidRPr="00475828">
        <w:rPr>
          <w:bCs/>
          <w:lang w:val="cs-CZ"/>
        </w:rPr>
        <w:t xml:space="preserve"> vyjmut</w:t>
      </w:r>
      <w:r w:rsidRPr="00475828">
        <w:rPr>
          <w:bCs/>
          <w:lang w:val="cs-CZ"/>
        </w:rPr>
        <w:t xml:space="preserve"> Londýn, jenž je pokryt na individuálním principu.</w:t>
      </w:r>
      <w:r w:rsidRPr="00475828">
        <w:rPr>
          <w:rStyle w:val="Znakapoznpodarou"/>
          <w:bCs/>
          <w:lang w:val="cs-CZ"/>
        </w:rPr>
        <w:footnoteReference w:id="101"/>
      </w:r>
      <w:r w:rsidRPr="00475828">
        <w:rPr>
          <w:bCs/>
          <w:lang w:val="cs-CZ"/>
        </w:rPr>
        <w:t xml:space="preserve"> </w:t>
      </w:r>
    </w:p>
    <w:p w14:paraId="31930442" w14:textId="77777777" w:rsidR="00A15AC4" w:rsidRPr="00475828" w:rsidRDefault="00D15ACC" w:rsidP="005916AF">
      <w:pPr>
        <w:pStyle w:val="Odstavecseseznamem"/>
        <w:numPr>
          <w:ilvl w:val="0"/>
          <w:numId w:val="24"/>
        </w:numPr>
        <w:rPr>
          <w:bCs/>
          <w:lang w:val="cs-CZ"/>
        </w:rPr>
      </w:pPr>
      <w:r w:rsidRPr="00475828">
        <w:rPr>
          <w:bCs/>
          <w:i/>
          <w:lang w:val="cs-CZ"/>
        </w:rPr>
        <w:t xml:space="preserve">Vyhodnocení </w:t>
      </w:r>
      <w:r w:rsidR="00CD5747" w:rsidRPr="00475828">
        <w:rPr>
          <w:bCs/>
          <w:i/>
          <w:lang w:val="cs-CZ"/>
        </w:rPr>
        <w:t>NCA</w:t>
      </w:r>
      <w:r w:rsidRPr="00475828">
        <w:rPr>
          <w:bCs/>
          <w:i/>
          <w:lang w:val="cs-CZ"/>
        </w:rPr>
        <w:t xml:space="preserve"> </w:t>
      </w:r>
    </w:p>
    <w:p w14:paraId="701712F1" w14:textId="77777777" w:rsidR="00A17E97" w:rsidRPr="00475828" w:rsidRDefault="00A17E97" w:rsidP="005916AF">
      <w:pPr>
        <w:ind w:firstLine="567"/>
        <w:rPr>
          <w:bCs/>
          <w:lang w:val="cs-CZ"/>
        </w:rPr>
      </w:pPr>
      <w:r w:rsidRPr="00475828">
        <w:rPr>
          <w:bCs/>
          <w:lang w:val="cs-CZ"/>
        </w:rPr>
        <w:t>V roce 2012 posuzoval OFT rozšíření stávajíc</w:t>
      </w:r>
      <w:r w:rsidR="00362F1E" w:rsidRPr="00475828">
        <w:rPr>
          <w:bCs/>
          <w:lang w:val="cs-CZ"/>
        </w:rPr>
        <w:t>í dohody mezi Vodafone a O2 v režim</w:t>
      </w:r>
      <w:r w:rsidR="004A2901">
        <w:rPr>
          <w:bCs/>
          <w:lang w:val="cs-CZ"/>
        </w:rPr>
        <w:t>u</w:t>
      </w:r>
      <w:r w:rsidR="00362F1E" w:rsidRPr="00475828">
        <w:rPr>
          <w:bCs/>
          <w:lang w:val="cs-CZ"/>
        </w:rPr>
        <w:t xml:space="preserve"> předběžného vyhodnocení spojení podniků. Původní spolupráce založená na smluvním principu se rozšířila na vytvoření </w:t>
      </w:r>
      <w:r w:rsidR="00BF1DA8" w:rsidRPr="00475828">
        <w:rPr>
          <w:bCs/>
          <w:lang w:val="cs-CZ"/>
        </w:rPr>
        <w:t>joint venture</w:t>
      </w:r>
      <w:r w:rsidR="00362F1E" w:rsidRPr="00475828">
        <w:rPr>
          <w:bCs/>
          <w:lang w:val="cs-CZ"/>
        </w:rPr>
        <w:t xml:space="preserve"> společnosti</w:t>
      </w:r>
      <w:r w:rsidR="00BF1DA8" w:rsidRPr="00475828">
        <w:rPr>
          <w:bCs/>
          <w:lang w:val="cs-CZ"/>
        </w:rPr>
        <w:t>, tzv.</w:t>
      </w:r>
      <w:r w:rsidR="00362F1E" w:rsidRPr="00475828">
        <w:rPr>
          <w:bCs/>
          <w:lang w:val="cs-CZ"/>
        </w:rPr>
        <w:t xml:space="preserve"> </w:t>
      </w:r>
      <w:proofErr w:type="spellStart"/>
      <w:r w:rsidR="00362F1E" w:rsidRPr="00475828">
        <w:rPr>
          <w:bCs/>
          <w:lang w:val="cs-CZ"/>
        </w:rPr>
        <w:t>Towerco</w:t>
      </w:r>
      <w:proofErr w:type="spellEnd"/>
      <w:r w:rsidR="00362F1E" w:rsidRPr="00475828">
        <w:rPr>
          <w:bCs/>
          <w:lang w:val="cs-CZ"/>
        </w:rPr>
        <w:t xml:space="preserve">, jež spravuje společnou sdílenou síť. Pod </w:t>
      </w:r>
      <w:r w:rsidR="00BF1DA8" w:rsidRPr="00475828">
        <w:rPr>
          <w:bCs/>
          <w:lang w:val="cs-CZ"/>
        </w:rPr>
        <w:t>joint venture</w:t>
      </w:r>
      <w:r w:rsidR="00362F1E" w:rsidRPr="00475828">
        <w:rPr>
          <w:bCs/>
          <w:lang w:val="cs-CZ"/>
        </w:rPr>
        <w:t xml:space="preserve"> </w:t>
      </w:r>
      <w:r w:rsidR="00BF1DA8" w:rsidRPr="00475828">
        <w:rPr>
          <w:bCs/>
          <w:lang w:val="cs-CZ"/>
        </w:rPr>
        <w:t xml:space="preserve">společnost </w:t>
      </w:r>
      <w:r w:rsidR="00362F1E" w:rsidRPr="00475828">
        <w:rPr>
          <w:bCs/>
          <w:lang w:val="cs-CZ"/>
        </w:rPr>
        <w:t>přešl</w:t>
      </w:r>
      <w:r w:rsidR="00BF1DA8" w:rsidRPr="00475828">
        <w:rPr>
          <w:bCs/>
          <w:lang w:val="cs-CZ"/>
        </w:rPr>
        <w:t>a</w:t>
      </w:r>
      <w:r w:rsidR="00362F1E" w:rsidRPr="00475828">
        <w:rPr>
          <w:bCs/>
          <w:lang w:val="cs-CZ"/>
        </w:rPr>
        <w:t xml:space="preserve"> také vlastnická práva k pasivním prvkům sdílené sítě (fyzické lokality a s nimi spojené podnikání). Sdílení se také rozšířilo i na RAN prvky sítí. Sdílení aktivních prvků RAN ovšem nepřešlo pod vzniklou </w:t>
      </w:r>
      <w:r w:rsidR="00BF1DA8" w:rsidRPr="00475828">
        <w:rPr>
          <w:bCs/>
          <w:lang w:val="cs-CZ"/>
        </w:rPr>
        <w:t>společnost</w:t>
      </w:r>
      <w:r w:rsidR="004A2901">
        <w:rPr>
          <w:bCs/>
          <w:lang w:val="cs-CZ"/>
        </w:rPr>
        <w:t xml:space="preserve"> </w:t>
      </w:r>
      <w:proofErr w:type="spellStart"/>
      <w:r w:rsidR="004A2901" w:rsidRPr="00475828">
        <w:rPr>
          <w:bCs/>
          <w:lang w:val="cs-CZ"/>
        </w:rPr>
        <w:t>Towerco</w:t>
      </w:r>
      <w:proofErr w:type="spellEnd"/>
      <w:r w:rsidR="00362F1E" w:rsidRPr="00475828">
        <w:rPr>
          <w:bCs/>
          <w:lang w:val="cs-CZ"/>
        </w:rPr>
        <w:t>, ale zůstalo na smluvní bázi. OFT ve svém rozhodnutí</w:t>
      </w:r>
      <w:r w:rsidR="00362F1E" w:rsidRPr="00475828">
        <w:rPr>
          <w:rStyle w:val="Znakapoznpodarou"/>
          <w:bCs/>
          <w:lang w:val="cs-CZ"/>
        </w:rPr>
        <w:footnoteReference w:id="102"/>
      </w:r>
      <w:r w:rsidR="00362F1E" w:rsidRPr="00475828">
        <w:rPr>
          <w:bCs/>
          <w:lang w:val="cs-CZ"/>
        </w:rPr>
        <w:t xml:space="preserve"> </w:t>
      </w:r>
      <w:r w:rsidR="00BF1DA8" w:rsidRPr="00475828">
        <w:rPr>
          <w:bCs/>
          <w:lang w:val="cs-CZ"/>
        </w:rPr>
        <w:t>vyloučil</w:t>
      </w:r>
      <w:r w:rsidR="00500CB5" w:rsidRPr="00475828">
        <w:rPr>
          <w:bCs/>
          <w:lang w:val="cs-CZ"/>
        </w:rPr>
        <w:t xml:space="preserve"> sdílení RAN ze</w:t>
      </w:r>
      <w:r w:rsidR="005B6DAB">
        <w:rPr>
          <w:bCs/>
          <w:lang w:val="cs-CZ"/>
        </w:rPr>
        <w:t> </w:t>
      </w:r>
      <w:r w:rsidR="00500CB5" w:rsidRPr="00475828">
        <w:rPr>
          <w:bCs/>
          <w:lang w:val="cs-CZ"/>
        </w:rPr>
        <w:t>svého posuzování, jelikož v důsledku sdílení ne</w:t>
      </w:r>
      <w:r w:rsidR="00BF1DA8" w:rsidRPr="00475828">
        <w:rPr>
          <w:bCs/>
          <w:lang w:val="cs-CZ"/>
        </w:rPr>
        <w:t xml:space="preserve">došlo ke vzniku nového podniku (tzv. </w:t>
      </w:r>
      <w:proofErr w:type="spellStart"/>
      <w:r w:rsidR="00BF1DA8" w:rsidRPr="00475828">
        <w:rPr>
          <w:bCs/>
          <w:lang w:val="cs-CZ"/>
        </w:rPr>
        <w:t>enterprise</w:t>
      </w:r>
      <w:proofErr w:type="spellEnd"/>
      <w:r w:rsidR="00BF1DA8" w:rsidRPr="00475828">
        <w:rPr>
          <w:bCs/>
          <w:lang w:val="cs-CZ"/>
        </w:rPr>
        <w:t>). OFT rozhodl, že ke vzniku nového podniku nedošlo v důsledku smluvního RAN sdílení</w:t>
      </w:r>
      <w:r w:rsidR="00500CB5" w:rsidRPr="00475828">
        <w:rPr>
          <w:bCs/>
          <w:lang w:val="cs-CZ"/>
        </w:rPr>
        <w:t xml:space="preserve"> zejména </w:t>
      </w:r>
      <w:r w:rsidR="00BF1DA8" w:rsidRPr="00475828">
        <w:rPr>
          <w:bCs/>
          <w:lang w:val="cs-CZ"/>
        </w:rPr>
        <w:t xml:space="preserve">proto, že </w:t>
      </w:r>
      <w:r w:rsidR="00500CB5" w:rsidRPr="00475828">
        <w:rPr>
          <w:bCs/>
          <w:lang w:val="cs-CZ"/>
        </w:rPr>
        <w:t>nezakládá sdílení takových aktiv a v takovém rozsahu, které by umožňovalo pokračování daného podnikání.</w:t>
      </w:r>
      <w:r w:rsidR="00500CB5" w:rsidRPr="00475828">
        <w:rPr>
          <w:rStyle w:val="Znakapoznpodarou"/>
          <w:bCs/>
          <w:lang w:val="cs-CZ"/>
        </w:rPr>
        <w:footnoteReference w:id="103"/>
      </w:r>
      <w:r w:rsidR="00E31EB9" w:rsidRPr="00E31EB9">
        <w:rPr>
          <w:sz w:val="16"/>
          <w:vertAlign w:val="superscript"/>
          <w:lang w:val="cs-CZ"/>
        </w:rPr>
        <w:t xml:space="preserve"> ,</w:t>
      </w:r>
      <w:r w:rsidR="00500CB5" w:rsidRPr="00475828">
        <w:rPr>
          <w:rStyle w:val="Znakapoznpodarou"/>
          <w:bCs/>
          <w:lang w:val="cs-CZ"/>
        </w:rPr>
        <w:footnoteReference w:id="104"/>
      </w:r>
      <w:r w:rsidR="00500CB5" w:rsidRPr="00475828">
        <w:rPr>
          <w:bCs/>
          <w:lang w:val="cs-CZ"/>
        </w:rPr>
        <w:t xml:space="preserve"> </w:t>
      </w:r>
    </w:p>
    <w:p w14:paraId="403EA5E1" w14:textId="77777777" w:rsidR="005916AF" w:rsidRDefault="00DC2046" w:rsidP="005916AF">
      <w:pPr>
        <w:ind w:firstLine="567"/>
        <w:rPr>
          <w:bCs/>
          <w:lang w:val="cs-CZ"/>
        </w:rPr>
      </w:pPr>
      <w:r w:rsidRPr="00475828">
        <w:rPr>
          <w:bCs/>
          <w:lang w:val="cs-CZ"/>
        </w:rPr>
        <w:t xml:space="preserve">Ve vztahu ke sdílení pasivní infrastruktury formou </w:t>
      </w:r>
      <w:r w:rsidR="00BF1DA8" w:rsidRPr="00475828">
        <w:rPr>
          <w:bCs/>
          <w:lang w:val="cs-CZ"/>
        </w:rPr>
        <w:t>převedení do</w:t>
      </w:r>
      <w:r w:rsidRPr="00475828">
        <w:rPr>
          <w:bCs/>
          <w:lang w:val="cs-CZ"/>
        </w:rPr>
        <w:t xml:space="preserve"> samostatné </w:t>
      </w:r>
      <w:r w:rsidR="00BF1DA8" w:rsidRPr="00475828">
        <w:rPr>
          <w:bCs/>
          <w:lang w:val="cs-CZ"/>
        </w:rPr>
        <w:t>joint venture</w:t>
      </w:r>
      <w:r w:rsidRPr="00475828">
        <w:rPr>
          <w:bCs/>
          <w:lang w:val="cs-CZ"/>
        </w:rPr>
        <w:t xml:space="preserve"> společnosti doš</w:t>
      </w:r>
      <w:r w:rsidR="00BF1DA8" w:rsidRPr="00475828">
        <w:rPr>
          <w:bCs/>
          <w:lang w:val="cs-CZ"/>
        </w:rPr>
        <w:t>el</w:t>
      </w:r>
      <w:r w:rsidRPr="00475828">
        <w:rPr>
          <w:bCs/>
          <w:lang w:val="cs-CZ"/>
        </w:rPr>
        <w:t xml:space="preserve"> OFT k názoru, že vznikem samostatné entity nedojde k takovému posílení spolupráce, zejména co se týká výměny informací či sblížení nákladů, která by omezila hospodářskou soutěž.</w:t>
      </w:r>
      <w:r w:rsidR="00505EEB" w:rsidRPr="00475828">
        <w:rPr>
          <w:rStyle w:val="Znakapoznpodarou"/>
          <w:bCs/>
          <w:lang w:val="cs-CZ"/>
        </w:rPr>
        <w:footnoteReference w:id="105"/>
      </w:r>
      <w:r w:rsidRPr="00475828">
        <w:rPr>
          <w:bCs/>
          <w:lang w:val="cs-CZ"/>
        </w:rPr>
        <w:t xml:space="preserve"> </w:t>
      </w:r>
      <w:r w:rsidR="00BF1DA8" w:rsidRPr="00475828">
        <w:rPr>
          <w:bCs/>
          <w:lang w:val="cs-CZ"/>
        </w:rPr>
        <w:t xml:space="preserve">Vznik joint venture společnosti tak byl v roce 2012 schválen. </w:t>
      </w:r>
    </w:p>
    <w:p w14:paraId="3E6E8C2B" w14:textId="77777777" w:rsidR="005916AF" w:rsidRDefault="005916AF">
      <w:pPr>
        <w:spacing w:before="0" w:after="0" w:line="240" w:lineRule="auto"/>
        <w:jc w:val="left"/>
        <w:rPr>
          <w:bCs/>
          <w:lang w:val="cs-CZ"/>
        </w:rPr>
      </w:pPr>
      <w:r>
        <w:rPr>
          <w:bCs/>
          <w:lang w:val="cs-CZ"/>
        </w:rPr>
        <w:br w:type="page"/>
      </w:r>
    </w:p>
    <w:p w14:paraId="320428E3" w14:textId="77777777" w:rsidR="00500CB5" w:rsidRPr="00475828" w:rsidRDefault="00BF1DA8" w:rsidP="005916AF">
      <w:pPr>
        <w:numPr>
          <w:ilvl w:val="2"/>
          <w:numId w:val="3"/>
        </w:numPr>
        <w:rPr>
          <w:bCs/>
          <w:i/>
          <w:lang w:val="cs-CZ"/>
        </w:rPr>
      </w:pPr>
      <w:bookmarkStart w:id="100" w:name="_Toc412465713"/>
      <w:bookmarkStart w:id="101" w:name="_Toc412467262"/>
      <w:bookmarkStart w:id="102" w:name="_Toc412467377"/>
      <w:bookmarkStart w:id="103" w:name="_Toc412467570"/>
      <w:bookmarkStart w:id="104" w:name="_Toc412467791"/>
      <w:bookmarkStart w:id="105" w:name="_Toc412467881"/>
      <w:bookmarkStart w:id="106" w:name="_Toc412467969"/>
      <w:bookmarkStart w:id="107" w:name="_Toc412468965"/>
      <w:bookmarkStart w:id="108" w:name="_Toc412470523"/>
      <w:bookmarkStart w:id="109" w:name="_Toc412470728"/>
      <w:bookmarkStart w:id="110" w:name="_Toc412471021"/>
      <w:bookmarkStart w:id="111" w:name="_Toc412471100"/>
      <w:bookmarkStart w:id="112" w:name="_Toc412471179"/>
      <w:bookmarkStart w:id="113" w:name="_Toc412471257"/>
      <w:bookmarkStart w:id="114" w:name="_Toc412471336"/>
      <w:bookmarkStart w:id="115" w:name="_Toc412471414"/>
      <w:bookmarkStart w:id="116" w:name="_Toc412471494"/>
      <w:bookmarkStart w:id="117" w:name="_Toc412471573"/>
      <w:bookmarkStart w:id="118" w:name="_Toc412471812"/>
      <w:bookmarkStart w:id="119" w:name="_Toc412471891"/>
      <w:bookmarkStart w:id="120" w:name="_Toc412471969"/>
      <w:bookmarkStart w:id="121" w:name="_Toc412465714"/>
      <w:bookmarkStart w:id="122" w:name="_Toc412467263"/>
      <w:bookmarkStart w:id="123" w:name="_Toc412467378"/>
      <w:bookmarkStart w:id="124" w:name="_Toc412467571"/>
      <w:bookmarkStart w:id="125" w:name="_Toc412467792"/>
      <w:bookmarkStart w:id="126" w:name="_Toc412467882"/>
      <w:bookmarkStart w:id="127" w:name="_Toc412467970"/>
      <w:bookmarkStart w:id="128" w:name="_Toc412468966"/>
      <w:bookmarkStart w:id="129" w:name="_Toc412470524"/>
      <w:bookmarkStart w:id="130" w:name="_Toc412470729"/>
      <w:bookmarkStart w:id="131" w:name="_Toc412471022"/>
      <w:bookmarkStart w:id="132" w:name="_Toc412471101"/>
      <w:bookmarkStart w:id="133" w:name="_Toc412471180"/>
      <w:bookmarkStart w:id="134" w:name="_Toc412471258"/>
      <w:bookmarkStart w:id="135" w:name="_Toc412471337"/>
      <w:bookmarkStart w:id="136" w:name="_Toc412471415"/>
      <w:bookmarkStart w:id="137" w:name="_Toc412471495"/>
      <w:bookmarkStart w:id="138" w:name="_Toc412471574"/>
      <w:bookmarkStart w:id="139" w:name="_Toc412471813"/>
      <w:bookmarkStart w:id="140" w:name="_Toc412471892"/>
      <w:bookmarkStart w:id="141" w:name="_Toc412471970"/>
      <w:bookmarkStart w:id="142" w:name="_Toc412465715"/>
      <w:bookmarkStart w:id="143" w:name="_Toc412467264"/>
      <w:bookmarkStart w:id="144" w:name="_Toc412467379"/>
      <w:bookmarkStart w:id="145" w:name="_Toc412467572"/>
      <w:bookmarkStart w:id="146" w:name="_Toc412467793"/>
      <w:bookmarkStart w:id="147" w:name="_Toc412467883"/>
      <w:bookmarkStart w:id="148" w:name="_Toc412467971"/>
      <w:bookmarkStart w:id="149" w:name="_Toc412468967"/>
      <w:bookmarkStart w:id="150" w:name="_Toc412470525"/>
      <w:bookmarkStart w:id="151" w:name="_Toc412470730"/>
      <w:bookmarkStart w:id="152" w:name="_Toc412471023"/>
      <w:bookmarkStart w:id="153" w:name="_Toc412471102"/>
      <w:bookmarkStart w:id="154" w:name="_Toc412471181"/>
      <w:bookmarkStart w:id="155" w:name="_Toc412471259"/>
      <w:bookmarkStart w:id="156" w:name="_Toc412471338"/>
      <w:bookmarkStart w:id="157" w:name="_Toc412471416"/>
      <w:bookmarkStart w:id="158" w:name="_Toc412471496"/>
      <w:bookmarkStart w:id="159" w:name="_Toc412471575"/>
      <w:bookmarkStart w:id="160" w:name="_Toc412471814"/>
      <w:bookmarkStart w:id="161" w:name="_Toc412471893"/>
      <w:bookmarkStart w:id="162" w:name="_Toc412471971"/>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475828">
        <w:rPr>
          <w:bCs/>
          <w:i/>
          <w:lang w:val="cs-CZ"/>
        </w:rPr>
        <w:t xml:space="preserve">Sdílení sítí </w:t>
      </w:r>
      <w:r w:rsidR="00A1360F">
        <w:rPr>
          <w:bCs/>
          <w:i/>
          <w:lang w:val="cs-CZ"/>
        </w:rPr>
        <w:t>z pohledu NRA a NCA</w:t>
      </w:r>
      <w:r w:rsidR="00E06CF5" w:rsidRPr="00475828">
        <w:rPr>
          <w:bCs/>
          <w:i/>
          <w:lang w:val="cs-CZ"/>
        </w:rPr>
        <w:t xml:space="preserve"> </w:t>
      </w:r>
    </w:p>
    <w:p w14:paraId="64A14914" w14:textId="77777777" w:rsidR="00A81CDA" w:rsidRPr="00475828" w:rsidRDefault="00A81CDA" w:rsidP="005916AF">
      <w:pPr>
        <w:pStyle w:val="Odstavecseseznamem"/>
        <w:numPr>
          <w:ilvl w:val="0"/>
          <w:numId w:val="21"/>
        </w:numPr>
        <w:rPr>
          <w:i/>
          <w:lang w:val="cs-CZ"/>
        </w:rPr>
      </w:pPr>
      <w:proofErr w:type="spellStart"/>
      <w:r w:rsidRPr="00475828">
        <w:rPr>
          <w:i/>
          <w:lang w:val="cs-CZ"/>
        </w:rPr>
        <w:t>Oftel</w:t>
      </w:r>
      <w:proofErr w:type="spellEnd"/>
    </w:p>
    <w:p w14:paraId="1A7D8273" w14:textId="77777777" w:rsidR="00A1360F" w:rsidRDefault="00E06CF5" w:rsidP="005916AF">
      <w:pPr>
        <w:ind w:firstLine="567"/>
        <w:rPr>
          <w:lang w:val="cs-CZ"/>
        </w:rPr>
      </w:pPr>
      <w:r w:rsidRPr="00475828">
        <w:rPr>
          <w:lang w:val="cs-CZ"/>
        </w:rPr>
        <w:t xml:space="preserve">V roce 2001 vydal </w:t>
      </w:r>
      <w:proofErr w:type="spellStart"/>
      <w:r w:rsidRPr="00475828">
        <w:rPr>
          <w:lang w:val="cs-CZ"/>
        </w:rPr>
        <w:t>Oftel</w:t>
      </w:r>
      <w:proofErr w:type="spellEnd"/>
      <w:r w:rsidRPr="00475828">
        <w:rPr>
          <w:lang w:val="cs-CZ"/>
        </w:rPr>
        <w:t xml:space="preserve"> (Office </w:t>
      </w:r>
      <w:proofErr w:type="spellStart"/>
      <w:r w:rsidRPr="00475828">
        <w:rPr>
          <w:lang w:val="cs-CZ"/>
        </w:rPr>
        <w:t>for</w:t>
      </w:r>
      <w:proofErr w:type="spellEnd"/>
      <w:r w:rsidRPr="00475828">
        <w:rPr>
          <w:lang w:val="cs-CZ"/>
        </w:rPr>
        <w:t xml:space="preserve"> </w:t>
      </w:r>
      <w:proofErr w:type="spellStart"/>
      <w:r w:rsidRPr="00475828">
        <w:rPr>
          <w:lang w:val="cs-CZ"/>
        </w:rPr>
        <w:t>Telecommunications</w:t>
      </w:r>
      <w:proofErr w:type="spellEnd"/>
      <w:r w:rsidRPr="00475828">
        <w:rPr>
          <w:lang w:val="cs-CZ"/>
        </w:rPr>
        <w:t xml:space="preserve">), tehdejší národní regulátor, </w:t>
      </w:r>
      <w:r w:rsidR="00116B5F" w:rsidRPr="00475828">
        <w:rPr>
          <w:lang w:val="cs-CZ"/>
        </w:rPr>
        <w:t>stanovisko ke sdílení síťové infrastruktury 3G sítí.</w:t>
      </w:r>
      <w:r w:rsidR="00116B5F" w:rsidRPr="00475828">
        <w:rPr>
          <w:rStyle w:val="Znakapoznpodarou"/>
          <w:lang w:val="cs-CZ"/>
        </w:rPr>
        <w:footnoteReference w:id="106"/>
      </w:r>
      <w:r w:rsidR="00116B5F" w:rsidRPr="00475828">
        <w:rPr>
          <w:lang w:val="cs-CZ"/>
        </w:rPr>
        <w:t xml:space="preserve"> Obecně se v tomto stanovisku vyjádřil</w:t>
      </w:r>
      <w:r w:rsidR="00BF1DA8" w:rsidRPr="00475828">
        <w:rPr>
          <w:lang w:val="cs-CZ"/>
        </w:rPr>
        <w:t xml:space="preserve"> pozitivně</w:t>
      </w:r>
      <w:r w:rsidR="00116B5F" w:rsidRPr="00475828">
        <w:rPr>
          <w:lang w:val="cs-CZ"/>
        </w:rPr>
        <w:t xml:space="preserve"> ke sdílení infrastruktury, zejména st</w:t>
      </w:r>
      <w:r w:rsidR="00BF1DA8" w:rsidRPr="00475828">
        <w:rPr>
          <w:lang w:val="cs-CZ"/>
        </w:rPr>
        <w:t>ožárů a dalších pasivních prvků</w:t>
      </w:r>
      <w:r w:rsidR="00116B5F" w:rsidRPr="00475828">
        <w:rPr>
          <w:lang w:val="cs-CZ"/>
        </w:rPr>
        <w:t xml:space="preserve">. </w:t>
      </w:r>
      <w:r w:rsidR="00C9365E" w:rsidRPr="00475828">
        <w:rPr>
          <w:lang w:val="cs-CZ"/>
        </w:rPr>
        <w:t>Konstatoval však, že</w:t>
      </w:r>
      <w:r w:rsidR="00116B5F" w:rsidRPr="00475828">
        <w:rPr>
          <w:lang w:val="cs-CZ"/>
        </w:rPr>
        <w:t xml:space="preserve"> sdílení, ačkoliv může vést k urychlení pokrytí a snížení nákladů, může omezit či jinak narušit hospodářskou soutěž a proto je vždy nutné každou dohodu o sdílení zkoumat</w:t>
      </w:r>
      <w:r w:rsidR="00BF1DA8" w:rsidRPr="00475828">
        <w:rPr>
          <w:lang w:val="cs-CZ"/>
        </w:rPr>
        <w:t xml:space="preserve"> ad hoc</w:t>
      </w:r>
      <w:r w:rsidR="00116B5F" w:rsidRPr="00475828">
        <w:rPr>
          <w:lang w:val="cs-CZ"/>
        </w:rPr>
        <w:t xml:space="preserve"> z pohledu soutěžního práva, konkrétně dle kapitoly 1 britského soutěžního zákona z roku 1998 a</w:t>
      </w:r>
      <w:r w:rsidR="00AC6783">
        <w:rPr>
          <w:lang w:val="cs-CZ"/>
        </w:rPr>
        <w:t> </w:t>
      </w:r>
      <w:r w:rsidR="00116B5F" w:rsidRPr="00475828">
        <w:rPr>
          <w:lang w:val="cs-CZ"/>
        </w:rPr>
        <w:t xml:space="preserve">článku 81 </w:t>
      </w:r>
      <w:r w:rsidR="00BF1DA8" w:rsidRPr="00475828">
        <w:rPr>
          <w:lang w:val="cs-CZ"/>
        </w:rPr>
        <w:t>S</w:t>
      </w:r>
      <w:r w:rsidR="00116B5F" w:rsidRPr="00475828">
        <w:rPr>
          <w:lang w:val="cs-CZ"/>
        </w:rPr>
        <w:t>ES.</w:t>
      </w:r>
      <w:r w:rsidR="00116B5F" w:rsidRPr="00475828">
        <w:rPr>
          <w:rStyle w:val="Znakapoznpodarou"/>
          <w:lang w:val="cs-CZ"/>
        </w:rPr>
        <w:footnoteReference w:id="107"/>
      </w:r>
      <w:r w:rsidR="00116B5F" w:rsidRPr="00475828">
        <w:rPr>
          <w:lang w:val="cs-CZ"/>
        </w:rPr>
        <w:t xml:space="preserve"> </w:t>
      </w:r>
    </w:p>
    <w:p w14:paraId="5C0224C2" w14:textId="77777777" w:rsidR="00A1360F" w:rsidRPr="00475828" w:rsidRDefault="00116B5F" w:rsidP="005916AF">
      <w:pPr>
        <w:ind w:firstLine="567"/>
        <w:rPr>
          <w:lang w:val="cs-CZ"/>
        </w:rPr>
      </w:pPr>
      <w:r w:rsidRPr="00475828">
        <w:rPr>
          <w:lang w:val="cs-CZ"/>
        </w:rPr>
        <w:t xml:space="preserve">Pravomoci </w:t>
      </w:r>
      <w:proofErr w:type="spellStart"/>
      <w:r w:rsidRPr="00475828">
        <w:rPr>
          <w:lang w:val="cs-CZ"/>
        </w:rPr>
        <w:t>Oftelu</w:t>
      </w:r>
      <w:proofErr w:type="spellEnd"/>
      <w:r w:rsidRPr="00475828">
        <w:rPr>
          <w:lang w:val="cs-CZ"/>
        </w:rPr>
        <w:t xml:space="preserve"> v rámci soutěžního práva byly </w:t>
      </w:r>
      <w:r w:rsidR="00A1360F">
        <w:rPr>
          <w:lang w:val="cs-CZ"/>
        </w:rPr>
        <w:t xml:space="preserve">v dané době </w:t>
      </w:r>
      <w:r w:rsidRPr="00475828">
        <w:rPr>
          <w:lang w:val="cs-CZ"/>
        </w:rPr>
        <w:t>sdíleny s </w:t>
      </w:r>
      <w:r w:rsidR="001350DC" w:rsidRPr="00475828">
        <w:rPr>
          <w:lang w:val="cs-CZ"/>
        </w:rPr>
        <w:t>OFT</w:t>
      </w:r>
      <w:r w:rsidRPr="00475828">
        <w:rPr>
          <w:lang w:val="cs-CZ"/>
        </w:rPr>
        <w:t>.</w:t>
      </w:r>
      <w:r w:rsidRPr="00475828">
        <w:rPr>
          <w:rStyle w:val="Znakapoznpodarou"/>
          <w:lang w:val="cs-CZ"/>
        </w:rPr>
        <w:footnoteReference w:id="108"/>
      </w:r>
      <w:r w:rsidRPr="00475828">
        <w:rPr>
          <w:lang w:val="cs-CZ"/>
        </w:rPr>
        <w:t xml:space="preserve"> </w:t>
      </w:r>
      <w:r w:rsidR="00A1360F" w:rsidRPr="00475828">
        <w:rPr>
          <w:lang w:val="cs-CZ"/>
        </w:rPr>
        <w:t>V roce 2003 byly pravo</w:t>
      </w:r>
      <w:r w:rsidR="00EE05E7">
        <w:rPr>
          <w:lang w:val="cs-CZ"/>
        </w:rPr>
        <w:t xml:space="preserve">moci </w:t>
      </w:r>
      <w:proofErr w:type="spellStart"/>
      <w:r w:rsidR="00EE05E7">
        <w:rPr>
          <w:lang w:val="cs-CZ"/>
        </w:rPr>
        <w:t>Oftelu</w:t>
      </w:r>
      <w:proofErr w:type="spellEnd"/>
      <w:r w:rsidR="00EE05E7">
        <w:rPr>
          <w:lang w:val="cs-CZ"/>
        </w:rPr>
        <w:t xml:space="preserve"> přeneseny na OFCOM</w:t>
      </w:r>
      <w:r w:rsidR="00A1360F" w:rsidRPr="00475828">
        <w:rPr>
          <w:lang w:val="cs-CZ"/>
        </w:rPr>
        <w:t>, který v sobě integroval národní úřady pro regulaci komunikací (televizní, rádiový, poštovní, telekomunikační sektor). OFCOM nadále spolupracuj</w:t>
      </w:r>
      <w:r w:rsidR="00A1360F">
        <w:rPr>
          <w:lang w:val="cs-CZ"/>
        </w:rPr>
        <w:t>e</w:t>
      </w:r>
      <w:r w:rsidR="00A1360F" w:rsidRPr="00475828">
        <w:rPr>
          <w:lang w:val="cs-CZ"/>
        </w:rPr>
        <w:t xml:space="preserve"> se soutěžními orgány při posuzování dopadu sdílení sítí na trh, např. v roce 2012 asistoval OFT při vyhodnocení sdílení sítí mezi Vodafone a O2.</w:t>
      </w:r>
      <w:r w:rsidR="00A1360F" w:rsidRPr="00475828">
        <w:rPr>
          <w:rStyle w:val="Znakapoznpodarou"/>
          <w:lang w:val="cs-CZ"/>
        </w:rPr>
        <w:footnoteReference w:id="109"/>
      </w:r>
      <w:r w:rsidR="00E31EB9" w:rsidRPr="00E31EB9">
        <w:rPr>
          <w:vertAlign w:val="superscript"/>
          <w:lang w:val="cs-CZ"/>
        </w:rPr>
        <w:t>,</w:t>
      </w:r>
      <w:r w:rsidR="00A1360F" w:rsidRPr="00475828">
        <w:rPr>
          <w:rStyle w:val="Znakapoznpodarou"/>
          <w:lang w:val="cs-CZ"/>
        </w:rPr>
        <w:footnoteReference w:id="110"/>
      </w:r>
    </w:p>
    <w:p w14:paraId="5948FC0B" w14:textId="77777777" w:rsidR="00A81CDA" w:rsidRPr="00475828" w:rsidRDefault="004A2901" w:rsidP="005916AF">
      <w:pPr>
        <w:pStyle w:val="Odstavecseseznamem"/>
        <w:numPr>
          <w:ilvl w:val="0"/>
          <w:numId w:val="21"/>
        </w:numPr>
        <w:rPr>
          <w:lang w:val="cs-CZ"/>
        </w:rPr>
      </w:pPr>
      <w:r w:rsidRPr="00475828">
        <w:rPr>
          <w:i/>
          <w:lang w:val="cs-CZ"/>
        </w:rPr>
        <w:t>O</w:t>
      </w:r>
      <w:r>
        <w:rPr>
          <w:i/>
          <w:lang w:val="cs-CZ"/>
        </w:rPr>
        <w:t>FCOM</w:t>
      </w:r>
    </w:p>
    <w:p w14:paraId="5FFA1C78" w14:textId="1D15CE54" w:rsidR="00116B5F" w:rsidRPr="00475828" w:rsidRDefault="00A567C2" w:rsidP="005916AF">
      <w:pPr>
        <w:ind w:firstLine="567"/>
        <w:rPr>
          <w:lang w:val="cs-CZ"/>
        </w:rPr>
      </w:pPr>
      <w:r w:rsidRPr="00475828">
        <w:rPr>
          <w:lang w:val="cs-CZ"/>
        </w:rPr>
        <w:t xml:space="preserve">OFCOM navázal na sdělení </w:t>
      </w:r>
      <w:proofErr w:type="spellStart"/>
      <w:r w:rsidRPr="00475828">
        <w:rPr>
          <w:lang w:val="cs-CZ"/>
        </w:rPr>
        <w:t>Oftelu</w:t>
      </w:r>
      <w:proofErr w:type="spellEnd"/>
      <w:r w:rsidR="004A7A45" w:rsidRPr="00475828">
        <w:rPr>
          <w:lang w:val="cs-CZ"/>
        </w:rPr>
        <w:t xml:space="preserve"> o sdílení sítí</w:t>
      </w:r>
      <w:r w:rsidRPr="00475828">
        <w:rPr>
          <w:lang w:val="cs-CZ"/>
        </w:rPr>
        <w:t xml:space="preserve"> v roce 2011, kdy vydal stanovisko ke</w:t>
      </w:r>
      <w:r w:rsidR="005B6DAB">
        <w:rPr>
          <w:lang w:val="cs-CZ"/>
        </w:rPr>
        <w:t> </w:t>
      </w:r>
      <w:r w:rsidRPr="00475828">
        <w:rPr>
          <w:lang w:val="cs-CZ"/>
        </w:rPr>
        <w:t>sdílení stožárů a lokalit mezi mobilními operátory.</w:t>
      </w:r>
      <w:r w:rsidRPr="00475828">
        <w:rPr>
          <w:rStyle w:val="Znakapoznpodarou"/>
          <w:lang w:val="cs-CZ"/>
        </w:rPr>
        <w:footnoteReference w:id="111"/>
      </w:r>
      <w:r w:rsidRPr="00475828">
        <w:rPr>
          <w:lang w:val="cs-CZ"/>
        </w:rPr>
        <w:t xml:space="preserve"> V tomto sdělení vyzývá ke sdílení infrastruktury za účelem snížení dopadu výstavby sítí na životní prostředí. Dále může na</w:t>
      </w:r>
      <w:r w:rsidR="005B6DAB">
        <w:rPr>
          <w:lang w:val="cs-CZ"/>
        </w:rPr>
        <w:t> </w:t>
      </w:r>
      <w:r w:rsidRPr="00475828">
        <w:rPr>
          <w:lang w:val="cs-CZ"/>
        </w:rPr>
        <w:t>základě ustanovení čl. 106 zákona o komunikacích udělit telekomunikačním společnost</w:t>
      </w:r>
      <w:r w:rsidR="007061E0">
        <w:rPr>
          <w:lang w:val="cs-CZ"/>
        </w:rPr>
        <w:t>em</w:t>
      </w:r>
      <w:r w:rsidRPr="00475828">
        <w:rPr>
          <w:lang w:val="cs-CZ"/>
        </w:rPr>
        <w:t xml:space="preserve"> speciální </w:t>
      </w:r>
      <w:r w:rsidR="00ED1A83" w:rsidRPr="00475828">
        <w:rPr>
          <w:lang w:val="cs-CZ"/>
        </w:rPr>
        <w:t>práva</w:t>
      </w:r>
      <w:r w:rsidRPr="00475828">
        <w:rPr>
          <w:lang w:val="cs-CZ"/>
        </w:rPr>
        <w:t xml:space="preserve"> při výstavbě telekomunikačních sítí, na základě kterých mohou např. budovat sítě na veřejných pozemcích či získat další výhody.</w:t>
      </w:r>
      <w:r w:rsidR="00ED1A83" w:rsidRPr="00475828">
        <w:rPr>
          <w:rStyle w:val="Znakapoznpodarou"/>
          <w:lang w:val="cs-CZ"/>
        </w:rPr>
        <w:footnoteReference w:id="112"/>
      </w:r>
      <w:r w:rsidRPr="00475828">
        <w:rPr>
          <w:lang w:val="cs-CZ"/>
        </w:rPr>
        <w:t xml:space="preserve"> OFCOM od společností, k</w:t>
      </w:r>
      <w:r w:rsidR="00ED1A83" w:rsidRPr="00475828">
        <w:rPr>
          <w:lang w:val="cs-CZ"/>
        </w:rPr>
        <w:t>teré</w:t>
      </w:r>
      <w:r w:rsidR="004A7A45" w:rsidRPr="00475828">
        <w:rPr>
          <w:lang w:val="cs-CZ"/>
        </w:rPr>
        <w:t xml:space="preserve"> se</w:t>
      </w:r>
      <w:r w:rsidR="00ED1A83" w:rsidRPr="00475828">
        <w:rPr>
          <w:lang w:val="cs-CZ"/>
        </w:rPr>
        <w:t xml:space="preserve"> přihlásí k takovýmto právům, vyžaduje, aby doložily, že jsou ochotné sdílet sv</w:t>
      </w:r>
      <w:r w:rsidR="004A2901">
        <w:rPr>
          <w:lang w:val="cs-CZ"/>
        </w:rPr>
        <w:t>á</w:t>
      </w:r>
      <w:r w:rsidR="00ED1A83" w:rsidRPr="00475828">
        <w:rPr>
          <w:lang w:val="cs-CZ"/>
        </w:rPr>
        <w:t xml:space="preserve"> zařízení.</w:t>
      </w:r>
      <w:r w:rsidR="00487333" w:rsidRPr="00475828">
        <w:rPr>
          <w:rStyle w:val="Znakapoznpodarou"/>
          <w:lang w:val="cs-CZ"/>
        </w:rPr>
        <w:footnoteReference w:id="113"/>
      </w:r>
      <w:r w:rsidR="00ED1A83" w:rsidRPr="00475828">
        <w:rPr>
          <w:lang w:val="cs-CZ"/>
        </w:rPr>
        <w:t xml:space="preserve">  </w:t>
      </w:r>
    </w:p>
    <w:p w14:paraId="192305B5" w14:textId="77777777" w:rsidR="00A81CDA" w:rsidRPr="00475828" w:rsidRDefault="00A81CDA" w:rsidP="005916AF">
      <w:pPr>
        <w:pStyle w:val="Odstavecseseznamem"/>
        <w:numPr>
          <w:ilvl w:val="0"/>
          <w:numId w:val="21"/>
        </w:numPr>
        <w:rPr>
          <w:lang w:val="cs-CZ"/>
        </w:rPr>
      </w:pPr>
      <w:r w:rsidRPr="00475828">
        <w:rPr>
          <w:i/>
          <w:lang w:val="cs-CZ"/>
        </w:rPr>
        <w:t xml:space="preserve">Office </w:t>
      </w:r>
      <w:proofErr w:type="spellStart"/>
      <w:r w:rsidRPr="00475828">
        <w:rPr>
          <w:i/>
          <w:lang w:val="cs-CZ"/>
        </w:rPr>
        <w:t>for</w:t>
      </w:r>
      <w:proofErr w:type="spellEnd"/>
      <w:r w:rsidRPr="00475828">
        <w:rPr>
          <w:i/>
          <w:lang w:val="cs-CZ"/>
        </w:rPr>
        <w:t xml:space="preserve"> Fair </w:t>
      </w:r>
      <w:proofErr w:type="spellStart"/>
      <w:r w:rsidRPr="00475828">
        <w:rPr>
          <w:i/>
          <w:lang w:val="cs-CZ"/>
        </w:rPr>
        <w:t>Trading</w:t>
      </w:r>
      <w:proofErr w:type="spellEnd"/>
      <w:r w:rsidRPr="00475828">
        <w:rPr>
          <w:i/>
          <w:lang w:val="cs-CZ"/>
        </w:rPr>
        <w:t xml:space="preserve"> </w:t>
      </w:r>
    </w:p>
    <w:p w14:paraId="6F9EA99F" w14:textId="77777777" w:rsidR="00A81CDA" w:rsidRPr="00475828" w:rsidRDefault="00A81CDA" w:rsidP="005916AF">
      <w:pPr>
        <w:ind w:firstLine="567"/>
        <w:rPr>
          <w:lang w:val="cs-CZ"/>
        </w:rPr>
      </w:pPr>
      <w:r w:rsidRPr="00475828">
        <w:rPr>
          <w:lang w:val="cs-CZ"/>
        </w:rPr>
        <w:t>Na základě komunikačního zákona z roku 2003</w:t>
      </w:r>
      <w:r w:rsidRPr="00475828">
        <w:rPr>
          <w:rStyle w:val="Znakapoznpodarou"/>
          <w:lang w:val="cs-CZ"/>
        </w:rPr>
        <w:footnoteReference w:id="114"/>
      </w:r>
      <w:r w:rsidRPr="00475828">
        <w:rPr>
          <w:lang w:val="cs-CZ"/>
        </w:rPr>
        <w:t xml:space="preserve"> vykonávají OFCOM a OFT sdílenou pravomoc (i) ve vztahu k provádění a vyhodnocování šetření a analýz v oblasti komunikací se</w:t>
      </w:r>
      <w:r w:rsidR="005B6DAB">
        <w:rPr>
          <w:lang w:val="cs-CZ"/>
        </w:rPr>
        <w:t> </w:t>
      </w:r>
      <w:r w:rsidRPr="00475828">
        <w:rPr>
          <w:lang w:val="cs-CZ"/>
        </w:rPr>
        <w:t>zaměřením na hospodářskou soutěž, a (</w:t>
      </w:r>
      <w:proofErr w:type="spellStart"/>
      <w:r w:rsidRPr="00475828">
        <w:rPr>
          <w:lang w:val="cs-CZ"/>
        </w:rPr>
        <w:t>ii</w:t>
      </w:r>
      <w:proofErr w:type="spellEnd"/>
      <w:r w:rsidRPr="00475828">
        <w:rPr>
          <w:lang w:val="cs-CZ"/>
        </w:rPr>
        <w:t>) jako prvoinstanční orgány dle zákona o</w:t>
      </w:r>
      <w:r w:rsidR="00247FC2">
        <w:rPr>
          <w:lang w:val="cs-CZ"/>
        </w:rPr>
        <w:t> </w:t>
      </w:r>
      <w:r w:rsidRPr="00475828">
        <w:rPr>
          <w:lang w:val="cs-CZ"/>
        </w:rPr>
        <w:t>podnicích</w:t>
      </w:r>
      <w:r w:rsidR="00A17E97" w:rsidRPr="00475828">
        <w:rPr>
          <w:lang w:val="cs-CZ"/>
        </w:rPr>
        <w:t>,</w:t>
      </w:r>
      <w:r w:rsidR="00A17E97" w:rsidRPr="00475828">
        <w:rPr>
          <w:rStyle w:val="Znakapoznpodarou"/>
          <w:lang w:val="cs-CZ"/>
        </w:rPr>
        <w:footnoteReference w:id="115"/>
      </w:r>
      <w:r w:rsidR="00A17E97" w:rsidRPr="00475828">
        <w:rPr>
          <w:lang w:val="cs-CZ"/>
        </w:rPr>
        <w:t xml:space="preserve"> jež poskytují doporučení tzv. </w:t>
      </w:r>
      <w:proofErr w:type="spellStart"/>
      <w:r w:rsidR="00A17E97" w:rsidRPr="00475828">
        <w:rPr>
          <w:lang w:val="cs-CZ"/>
        </w:rPr>
        <w:t>Competition</w:t>
      </w:r>
      <w:proofErr w:type="spellEnd"/>
      <w:r w:rsidR="00A17E97" w:rsidRPr="00475828">
        <w:rPr>
          <w:lang w:val="cs-CZ"/>
        </w:rPr>
        <w:t xml:space="preserve"> </w:t>
      </w:r>
      <w:proofErr w:type="spellStart"/>
      <w:r w:rsidR="00A17E97" w:rsidRPr="00475828">
        <w:rPr>
          <w:lang w:val="cs-CZ"/>
        </w:rPr>
        <w:t>Commission</w:t>
      </w:r>
      <w:proofErr w:type="spellEnd"/>
      <w:r w:rsidR="00A17E97" w:rsidRPr="00475828">
        <w:rPr>
          <w:lang w:val="cs-CZ"/>
        </w:rPr>
        <w:t>.</w:t>
      </w:r>
      <w:r w:rsidR="00A17E97" w:rsidRPr="00475828">
        <w:rPr>
          <w:rStyle w:val="Znakapoznpodarou"/>
          <w:lang w:val="cs-CZ"/>
        </w:rPr>
        <w:footnoteReference w:id="116"/>
      </w:r>
      <w:r w:rsidR="00A17E97" w:rsidRPr="00475828">
        <w:rPr>
          <w:lang w:val="cs-CZ"/>
        </w:rPr>
        <w:t xml:space="preserve"> OFT byl zrušen ke</w:t>
      </w:r>
      <w:r w:rsidR="005B6DAB">
        <w:rPr>
          <w:lang w:val="cs-CZ"/>
        </w:rPr>
        <w:t> </w:t>
      </w:r>
      <w:r w:rsidR="00A17E97" w:rsidRPr="00475828">
        <w:rPr>
          <w:lang w:val="cs-CZ"/>
        </w:rPr>
        <w:t xml:space="preserve">dni 1. dubna 2014 a </w:t>
      </w:r>
      <w:r w:rsidR="004A2901">
        <w:rPr>
          <w:lang w:val="cs-CZ"/>
        </w:rPr>
        <w:t>jeho</w:t>
      </w:r>
      <w:r w:rsidR="004A2901" w:rsidRPr="00475828">
        <w:rPr>
          <w:lang w:val="cs-CZ"/>
        </w:rPr>
        <w:t xml:space="preserve"> </w:t>
      </w:r>
      <w:r w:rsidR="00A17E97" w:rsidRPr="00475828">
        <w:rPr>
          <w:lang w:val="cs-CZ"/>
        </w:rPr>
        <w:t xml:space="preserve">pravomoci přešly na </w:t>
      </w:r>
      <w:proofErr w:type="spellStart"/>
      <w:r w:rsidR="00A17E97" w:rsidRPr="00475828">
        <w:rPr>
          <w:lang w:val="cs-CZ"/>
        </w:rPr>
        <w:t>Competitions</w:t>
      </w:r>
      <w:proofErr w:type="spellEnd"/>
      <w:r w:rsidR="00A17E97" w:rsidRPr="00475828">
        <w:rPr>
          <w:lang w:val="cs-CZ"/>
        </w:rPr>
        <w:t xml:space="preserve"> and </w:t>
      </w:r>
      <w:proofErr w:type="spellStart"/>
      <w:r w:rsidR="00A17E97" w:rsidRPr="00475828">
        <w:rPr>
          <w:lang w:val="cs-CZ"/>
        </w:rPr>
        <w:t>Markets</w:t>
      </w:r>
      <w:proofErr w:type="spellEnd"/>
      <w:r w:rsidR="00A17E97" w:rsidRPr="00475828">
        <w:rPr>
          <w:lang w:val="cs-CZ"/>
        </w:rPr>
        <w:t xml:space="preserve"> </w:t>
      </w:r>
      <w:proofErr w:type="spellStart"/>
      <w:r w:rsidR="00A17E97" w:rsidRPr="00475828">
        <w:rPr>
          <w:lang w:val="cs-CZ"/>
        </w:rPr>
        <w:t>Authority</w:t>
      </w:r>
      <w:proofErr w:type="spellEnd"/>
      <w:r w:rsidR="00A17E97" w:rsidRPr="00475828">
        <w:rPr>
          <w:lang w:val="cs-CZ"/>
        </w:rPr>
        <w:t xml:space="preserve"> a</w:t>
      </w:r>
      <w:r w:rsidR="005B6DAB">
        <w:rPr>
          <w:lang w:val="cs-CZ"/>
        </w:rPr>
        <w:t> </w:t>
      </w:r>
      <w:r w:rsidR="00A17E97" w:rsidRPr="00475828">
        <w:rPr>
          <w:lang w:val="cs-CZ"/>
        </w:rPr>
        <w:t>na</w:t>
      </w:r>
      <w:r w:rsidR="005B6DAB">
        <w:rPr>
          <w:lang w:val="cs-CZ"/>
        </w:rPr>
        <w:t> </w:t>
      </w:r>
      <w:proofErr w:type="spellStart"/>
      <w:r w:rsidR="00A17E97" w:rsidRPr="00475828">
        <w:rPr>
          <w:lang w:val="cs-CZ"/>
        </w:rPr>
        <w:t>Financial</w:t>
      </w:r>
      <w:proofErr w:type="spellEnd"/>
      <w:r w:rsidR="00A17E97" w:rsidRPr="00475828">
        <w:rPr>
          <w:lang w:val="cs-CZ"/>
        </w:rPr>
        <w:t xml:space="preserve"> </w:t>
      </w:r>
      <w:proofErr w:type="spellStart"/>
      <w:r w:rsidR="00A17E97" w:rsidRPr="00475828">
        <w:rPr>
          <w:lang w:val="cs-CZ"/>
        </w:rPr>
        <w:t>Conduct</w:t>
      </w:r>
      <w:proofErr w:type="spellEnd"/>
      <w:r w:rsidR="00A17E97" w:rsidRPr="00475828">
        <w:rPr>
          <w:lang w:val="cs-CZ"/>
        </w:rPr>
        <w:t xml:space="preserve"> </w:t>
      </w:r>
      <w:proofErr w:type="spellStart"/>
      <w:r w:rsidR="00A17E97" w:rsidRPr="00475828">
        <w:rPr>
          <w:lang w:val="cs-CZ"/>
        </w:rPr>
        <w:t>Authority</w:t>
      </w:r>
      <w:proofErr w:type="spellEnd"/>
      <w:r w:rsidR="00A17E97" w:rsidRPr="00475828">
        <w:rPr>
          <w:lang w:val="cs-CZ"/>
        </w:rPr>
        <w:t xml:space="preserve">. </w:t>
      </w:r>
    </w:p>
    <w:p w14:paraId="34DE33CC" w14:textId="77777777" w:rsidR="00A81CDA" w:rsidRPr="00475828" w:rsidRDefault="00DF1335" w:rsidP="005916AF">
      <w:pPr>
        <w:pStyle w:val="Nadpis2"/>
        <w:keepNext w:val="0"/>
        <w:numPr>
          <w:ilvl w:val="1"/>
          <w:numId w:val="3"/>
        </w:numPr>
      </w:pPr>
      <w:bookmarkStart w:id="163" w:name="_Toc301423674"/>
      <w:r w:rsidRPr="00475828">
        <w:t>Dílčí případová studie: Sdílení sítí a regulace výměny informací v</w:t>
      </w:r>
      <w:r w:rsidR="00167708" w:rsidRPr="00475828">
        <w:t> </w:t>
      </w:r>
      <w:r w:rsidRPr="00475828">
        <w:t>Dánsku</w:t>
      </w:r>
      <w:bookmarkEnd w:id="163"/>
    </w:p>
    <w:p w14:paraId="4B75D67A" w14:textId="77777777" w:rsidR="00167708" w:rsidRPr="00475828" w:rsidRDefault="00663CAD" w:rsidP="005916AF">
      <w:pPr>
        <w:numPr>
          <w:ilvl w:val="2"/>
          <w:numId w:val="3"/>
        </w:numPr>
        <w:rPr>
          <w:bCs/>
          <w:i/>
          <w:lang w:val="cs-CZ"/>
        </w:rPr>
      </w:pPr>
      <w:r w:rsidRPr="00475828">
        <w:rPr>
          <w:bCs/>
          <w:i/>
          <w:lang w:val="cs-CZ"/>
        </w:rPr>
        <w:t>Shrnutí</w:t>
      </w:r>
    </w:p>
    <w:p w14:paraId="02B1D719" w14:textId="77777777" w:rsidR="00663CAD" w:rsidRPr="00475828" w:rsidRDefault="005B6DAB" w:rsidP="005916AF">
      <w:pPr>
        <w:ind w:firstLine="567"/>
        <w:rPr>
          <w:lang w:val="cs-CZ"/>
        </w:rPr>
      </w:pPr>
      <w:r>
        <w:rPr>
          <w:lang w:val="cs-CZ"/>
        </w:rPr>
        <w:t xml:space="preserve">Společnosti </w:t>
      </w:r>
      <w:r w:rsidR="00663CAD" w:rsidRPr="00475828">
        <w:rPr>
          <w:lang w:val="cs-CZ"/>
        </w:rPr>
        <w:t xml:space="preserve">Telia </w:t>
      </w:r>
      <w:proofErr w:type="spellStart"/>
      <w:r w:rsidR="00663CAD" w:rsidRPr="00475828">
        <w:rPr>
          <w:lang w:val="cs-CZ"/>
        </w:rPr>
        <w:t>Denmark</w:t>
      </w:r>
      <w:proofErr w:type="spellEnd"/>
      <w:r w:rsidR="00663CAD" w:rsidRPr="00475828">
        <w:rPr>
          <w:lang w:val="cs-CZ"/>
        </w:rPr>
        <w:t xml:space="preserve"> a </w:t>
      </w:r>
      <w:proofErr w:type="spellStart"/>
      <w:r w:rsidR="00663CAD" w:rsidRPr="00475828">
        <w:rPr>
          <w:lang w:val="cs-CZ"/>
        </w:rPr>
        <w:t>Telenor</w:t>
      </w:r>
      <w:proofErr w:type="spellEnd"/>
      <w:r w:rsidR="00663CAD" w:rsidRPr="00475828">
        <w:rPr>
          <w:lang w:val="cs-CZ"/>
        </w:rPr>
        <w:t xml:space="preserve"> A/S uzavřely v roce 2011 smlouvu o sdílení RAN. Za tím účelem společnosti vytvořily společnou dceřinou společnost </w:t>
      </w:r>
      <w:proofErr w:type="spellStart"/>
      <w:r w:rsidR="00663CAD" w:rsidRPr="00475828">
        <w:rPr>
          <w:lang w:val="cs-CZ"/>
        </w:rPr>
        <w:t>Newco</w:t>
      </w:r>
      <w:proofErr w:type="spellEnd"/>
      <w:r w:rsidR="00663CAD" w:rsidRPr="00475828">
        <w:rPr>
          <w:lang w:val="cs-CZ"/>
        </w:rPr>
        <w:t xml:space="preserve">. Dohoda nezahrnovala sdílení páteřních sítí, na druhou stranu ale měla zahrnovat i sdílení části frekvencí. </w:t>
      </w:r>
      <w:proofErr w:type="spellStart"/>
      <w:r w:rsidR="00663CAD" w:rsidRPr="00475828">
        <w:rPr>
          <w:lang w:val="cs-CZ"/>
        </w:rPr>
        <w:t>Telenor</w:t>
      </w:r>
      <w:proofErr w:type="spellEnd"/>
      <w:r w:rsidR="00663CAD" w:rsidRPr="00475828">
        <w:rPr>
          <w:lang w:val="cs-CZ"/>
        </w:rPr>
        <w:t xml:space="preserve"> a</w:t>
      </w:r>
      <w:r w:rsidR="00087936">
        <w:rPr>
          <w:lang w:val="cs-CZ"/>
        </w:rPr>
        <w:t> </w:t>
      </w:r>
      <w:r w:rsidR="00663CAD" w:rsidRPr="00475828">
        <w:rPr>
          <w:lang w:val="cs-CZ"/>
        </w:rPr>
        <w:t>Telia jsou druhý</w:t>
      </w:r>
      <w:r>
        <w:rPr>
          <w:lang w:val="cs-CZ"/>
        </w:rPr>
        <w:t>m</w:t>
      </w:r>
      <w:r w:rsidR="00663CAD" w:rsidRPr="00475828">
        <w:rPr>
          <w:lang w:val="cs-CZ"/>
        </w:rPr>
        <w:t>, respektive třetí</w:t>
      </w:r>
      <w:r>
        <w:rPr>
          <w:lang w:val="cs-CZ"/>
        </w:rPr>
        <w:t>m</w:t>
      </w:r>
      <w:r w:rsidR="00663CAD" w:rsidRPr="00475828">
        <w:rPr>
          <w:lang w:val="cs-CZ"/>
        </w:rPr>
        <w:t xml:space="preserve"> největší</w:t>
      </w:r>
      <w:r>
        <w:rPr>
          <w:lang w:val="cs-CZ"/>
        </w:rPr>
        <w:t>m</w:t>
      </w:r>
      <w:r w:rsidR="00663CAD" w:rsidRPr="00475828">
        <w:rPr>
          <w:lang w:val="cs-CZ"/>
        </w:rPr>
        <w:t xml:space="preserve"> hráč</w:t>
      </w:r>
      <w:r>
        <w:rPr>
          <w:lang w:val="cs-CZ"/>
        </w:rPr>
        <w:t>em</w:t>
      </w:r>
      <w:r w:rsidR="00663CAD" w:rsidRPr="00475828">
        <w:rPr>
          <w:lang w:val="cs-CZ"/>
        </w:rPr>
        <w:t xml:space="preserve"> na trhu. Operátorem s největším tržním podílem (na maloobchodní úrovni) je TDC, čtvrtým operátorem je Hi3G.</w:t>
      </w:r>
      <w:r w:rsidR="00F70CBC" w:rsidRPr="00475828">
        <w:rPr>
          <w:lang w:val="cs-CZ"/>
        </w:rPr>
        <w:t xml:space="preserve"> Cílem dohody mezi společnostmi </w:t>
      </w:r>
      <w:proofErr w:type="spellStart"/>
      <w:r w:rsidR="00F70CBC" w:rsidRPr="00475828">
        <w:rPr>
          <w:lang w:val="cs-CZ"/>
        </w:rPr>
        <w:t>Telenor</w:t>
      </w:r>
      <w:proofErr w:type="spellEnd"/>
      <w:r w:rsidR="00F70CBC" w:rsidRPr="00475828">
        <w:rPr>
          <w:lang w:val="cs-CZ"/>
        </w:rPr>
        <w:t xml:space="preserve"> a Telia je optimalizace nákladů, vybudování lepší sítě (ve smyslu lepšího pokrytí a</w:t>
      </w:r>
      <w:r w:rsidR="00247FC2">
        <w:rPr>
          <w:lang w:val="cs-CZ"/>
        </w:rPr>
        <w:t> </w:t>
      </w:r>
      <w:r w:rsidR="00F70CBC" w:rsidRPr="00475828">
        <w:rPr>
          <w:lang w:val="cs-CZ"/>
        </w:rPr>
        <w:t xml:space="preserve">technologií) a vybudování sítě, která může efektivně konkurovat síti </w:t>
      </w:r>
      <w:proofErr w:type="spellStart"/>
      <w:r w:rsidR="00F70CBC" w:rsidRPr="00475828">
        <w:rPr>
          <w:lang w:val="cs-CZ"/>
        </w:rPr>
        <w:t>incumbenta</w:t>
      </w:r>
      <w:proofErr w:type="spellEnd"/>
      <w:r w:rsidR="00F70CBC" w:rsidRPr="00475828">
        <w:rPr>
          <w:lang w:val="cs-CZ"/>
        </w:rPr>
        <w:t>, TDC.</w:t>
      </w:r>
    </w:p>
    <w:p w14:paraId="7B958636" w14:textId="77777777" w:rsidR="00F70CBC" w:rsidRPr="00475828" w:rsidRDefault="00F70CBC" w:rsidP="005916AF">
      <w:pPr>
        <w:numPr>
          <w:ilvl w:val="2"/>
          <w:numId w:val="3"/>
        </w:numPr>
        <w:rPr>
          <w:bCs/>
          <w:i/>
          <w:lang w:val="cs-CZ"/>
        </w:rPr>
      </w:pPr>
      <w:r w:rsidRPr="00475828">
        <w:rPr>
          <w:bCs/>
          <w:i/>
          <w:lang w:val="cs-CZ"/>
        </w:rPr>
        <w:t>Posouzení dohody</w:t>
      </w:r>
      <w:r w:rsidR="00D76223" w:rsidRPr="00475828">
        <w:rPr>
          <w:bCs/>
          <w:i/>
          <w:lang w:val="cs-CZ"/>
        </w:rPr>
        <w:t xml:space="preserve"> a závazky týkající se výměny informací</w:t>
      </w:r>
      <w:r w:rsidR="00D76223" w:rsidRPr="00475828">
        <w:rPr>
          <w:rStyle w:val="Znakapoznpodarou"/>
          <w:bCs/>
          <w:i/>
          <w:lang w:val="cs-CZ"/>
        </w:rPr>
        <w:footnoteReference w:id="117"/>
      </w:r>
    </w:p>
    <w:p w14:paraId="324AC54C" w14:textId="77777777" w:rsidR="00F70CBC" w:rsidRPr="00475828" w:rsidRDefault="00F70CBC" w:rsidP="005916AF">
      <w:pPr>
        <w:ind w:firstLine="567"/>
        <w:rPr>
          <w:lang w:val="cs-CZ"/>
        </w:rPr>
      </w:pPr>
      <w:r w:rsidRPr="00475828">
        <w:rPr>
          <w:lang w:val="cs-CZ"/>
        </w:rPr>
        <w:t>Dohoda o sdílení byla posuzov</w:t>
      </w:r>
      <w:r w:rsidR="00D76223" w:rsidRPr="00475828">
        <w:rPr>
          <w:lang w:val="cs-CZ"/>
        </w:rPr>
        <w:t>ána dánským</w:t>
      </w:r>
      <w:r w:rsidRPr="00475828">
        <w:rPr>
          <w:lang w:val="cs-CZ"/>
        </w:rPr>
        <w:t xml:space="preserve"> </w:t>
      </w:r>
      <w:r w:rsidR="00D76223" w:rsidRPr="00475828">
        <w:rPr>
          <w:lang w:val="cs-CZ"/>
        </w:rPr>
        <w:t>NCA, Úřadem pro hospodářskou soutěž a</w:t>
      </w:r>
      <w:r w:rsidR="00247FC2">
        <w:rPr>
          <w:lang w:val="cs-CZ"/>
        </w:rPr>
        <w:t> </w:t>
      </w:r>
      <w:r w:rsidR="00D76223" w:rsidRPr="00475828">
        <w:rPr>
          <w:lang w:val="cs-CZ"/>
        </w:rPr>
        <w:t>ochranu spotřebitele. Dohoda byla schválena, ale s několika podmínkami. Nejdůležitější závaz</w:t>
      </w:r>
      <w:r w:rsidR="005B6DAB">
        <w:rPr>
          <w:lang w:val="cs-CZ"/>
        </w:rPr>
        <w:t>e</w:t>
      </w:r>
      <w:r w:rsidR="00D76223" w:rsidRPr="00475828">
        <w:rPr>
          <w:lang w:val="cs-CZ"/>
        </w:rPr>
        <w:t xml:space="preserve">k, který z rozhodnutí dánského NCA vyplývá, se týká personálních aspektů vzniklé joint venture </w:t>
      </w:r>
      <w:r w:rsidR="004A262C">
        <w:rPr>
          <w:lang w:val="cs-CZ"/>
        </w:rPr>
        <w:t xml:space="preserve">společnosti </w:t>
      </w:r>
      <w:r w:rsidR="00D76223" w:rsidRPr="00475828">
        <w:rPr>
          <w:lang w:val="cs-CZ"/>
        </w:rPr>
        <w:t>a výměny informací mezi sdílejícími subjekty.</w:t>
      </w:r>
    </w:p>
    <w:p w14:paraId="797FD2F1" w14:textId="77777777" w:rsidR="00D76223" w:rsidRPr="00475828" w:rsidRDefault="00D76223" w:rsidP="005916AF">
      <w:pPr>
        <w:ind w:firstLine="567"/>
        <w:rPr>
          <w:lang w:val="cs-CZ"/>
        </w:rPr>
      </w:pPr>
      <w:r w:rsidRPr="00475828">
        <w:rPr>
          <w:lang w:val="cs-CZ"/>
        </w:rPr>
        <w:t>Dle názoru NCA s sebou výměna informací mezi soutěžiteli nese riziko, že dojde k odstranění podnikatelské nejistoty na trhu a bude tak jednodušší reagovat na obchodní strategie konkurence.</w:t>
      </w:r>
      <w:r w:rsidRPr="00475828">
        <w:rPr>
          <w:rStyle w:val="Znakapoznpodarou"/>
          <w:lang w:val="cs-CZ"/>
        </w:rPr>
        <w:footnoteReference w:id="118"/>
      </w:r>
      <w:r w:rsidRPr="00475828">
        <w:rPr>
          <w:lang w:val="cs-CZ"/>
        </w:rPr>
        <w:t xml:space="preserve"> </w:t>
      </w:r>
      <w:r w:rsidR="00F80116" w:rsidRPr="00475828">
        <w:rPr>
          <w:lang w:val="cs-CZ"/>
        </w:rPr>
        <w:t>Výměna informací může být obzvláště citlivá, pokud jsou sdíleny informace strategického dopadu, například seznamy zákazníků, podrobné údaje o cenách či</w:t>
      </w:r>
      <w:r w:rsidR="005B6DAB">
        <w:rPr>
          <w:lang w:val="cs-CZ"/>
        </w:rPr>
        <w:t> </w:t>
      </w:r>
      <w:r w:rsidR="00F80116" w:rsidRPr="00475828">
        <w:rPr>
          <w:lang w:val="cs-CZ"/>
        </w:rPr>
        <w:t>informace o</w:t>
      </w:r>
      <w:r w:rsidR="00247FC2">
        <w:rPr>
          <w:lang w:val="cs-CZ"/>
        </w:rPr>
        <w:t> </w:t>
      </w:r>
      <w:r w:rsidR="00F80116" w:rsidRPr="00475828">
        <w:rPr>
          <w:lang w:val="cs-CZ"/>
        </w:rPr>
        <w:t>výrobních nákladech.</w:t>
      </w:r>
      <w:r w:rsidR="00B75909" w:rsidRPr="00475828">
        <w:rPr>
          <w:lang w:val="cs-CZ"/>
        </w:rPr>
        <w:t xml:space="preserve"> Vzhledem k tomu, že mezi stranami měly být dle dohody vyměňovány i</w:t>
      </w:r>
      <w:r w:rsidR="00247FC2">
        <w:rPr>
          <w:lang w:val="cs-CZ"/>
        </w:rPr>
        <w:t> </w:t>
      </w:r>
      <w:r w:rsidR="00B75909" w:rsidRPr="00475828">
        <w:rPr>
          <w:lang w:val="cs-CZ"/>
        </w:rPr>
        <w:t>tyto citlivé informace, zavázali se operátoři, že k těmto informacím budou mít přístup pouze zaměstnanci a manažeři</w:t>
      </w:r>
      <w:r w:rsidR="005B6DAB">
        <w:rPr>
          <w:lang w:val="cs-CZ"/>
        </w:rPr>
        <w:t xml:space="preserve"> společnosti</w:t>
      </w:r>
      <w:r w:rsidR="00B75909" w:rsidRPr="00475828">
        <w:rPr>
          <w:lang w:val="cs-CZ"/>
        </w:rPr>
        <w:t xml:space="preserve"> </w:t>
      </w:r>
      <w:proofErr w:type="spellStart"/>
      <w:r w:rsidR="00B75909" w:rsidRPr="00475828">
        <w:rPr>
          <w:lang w:val="cs-CZ"/>
        </w:rPr>
        <w:t>Newco</w:t>
      </w:r>
      <w:proofErr w:type="spellEnd"/>
      <w:r w:rsidR="00B75909" w:rsidRPr="00475828">
        <w:rPr>
          <w:lang w:val="cs-CZ"/>
        </w:rPr>
        <w:t xml:space="preserve"> (tzn. informace </w:t>
      </w:r>
      <w:r w:rsidR="005B6DAB">
        <w:rPr>
          <w:lang w:val="cs-CZ"/>
        </w:rPr>
        <w:t xml:space="preserve">společnosti </w:t>
      </w:r>
      <w:r w:rsidR="00B75909" w:rsidRPr="00475828">
        <w:rPr>
          <w:lang w:val="cs-CZ"/>
        </w:rPr>
        <w:t xml:space="preserve">Telia </w:t>
      </w:r>
      <w:proofErr w:type="spellStart"/>
      <w:r w:rsidR="00B75909" w:rsidRPr="00475828">
        <w:rPr>
          <w:lang w:val="cs-CZ"/>
        </w:rPr>
        <w:t>Denmark</w:t>
      </w:r>
      <w:proofErr w:type="spellEnd"/>
      <w:r w:rsidR="00B75909" w:rsidRPr="00475828">
        <w:rPr>
          <w:lang w:val="cs-CZ"/>
        </w:rPr>
        <w:t xml:space="preserve"> se nedostanou do držení </w:t>
      </w:r>
      <w:proofErr w:type="spellStart"/>
      <w:r w:rsidR="00B75909" w:rsidRPr="00475828">
        <w:rPr>
          <w:lang w:val="cs-CZ"/>
        </w:rPr>
        <w:t>T</w:t>
      </w:r>
      <w:r w:rsidR="004B6F3E">
        <w:rPr>
          <w:lang w:val="cs-CZ"/>
        </w:rPr>
        <w:t>e</w:t>
      </w:r>
      <w:r w:rsidR="00B75909" w:rsidRPr="00475828">
        <w:rPr>
          <w:lang w:val="cs-CZ"/>
        </w:rPr>
        <w:t>lenor</w:t>
      </w:r>
      <w:proofErr w:type="spellEnd"/>
      <w:r w:rsidR="00B75909" w:rsidRPr="00475828">
        <w:rPr>
          <w:lang w:val="cs-CZ"/>
        </w:rPr>
        <w:t xml:space="preserve"> a opačně). Zároveň tyto oprávněné osoby podepsaly prohlášení, dle kterého berou na vědomí citlivou povahu sdílených informací a</w:t>
      </w:r>
      <w:r w:rsidR="005B6DAB">
        <w:rPr>
          <w:lang w:val="cs-CZ"/>
        </w:rPr>
        <w:t> </w:t>
      </w:r>
      <w:r w:rsidR="00B75909" w:rsidRPr="00475828">
        <w:rPr>
          <w:lang w:val="cs-CZ"/>
        </w:rPr>
        <w:t>zavazují se, že informace nebudou dále šířit. V závazku je také obsažen tzv. „</w:t>
      </w:r>
      <w:proofErr w:type="spellStart"/>
      <w:r w:rsidR="00B75909" w:rsidRPr="00475828">
        <w:rPr>
          <w:lang w:val="cs-CZ"/>
        </w:rPr>
        <w:t>arms-length</w:t>
      </w:r>
      <w:proofErr w:type="spellEnd"/>
      <w:r w:rsidR="00B75909" w:rsidRPr="00475828">
        <w:rPr>
          <w:lang w:val="cs-CZ"/>
        </w:rPr>
        <w:t>“</w:t>
      </w:r>
      <w:r w:rsidR="00F47BB3" w:rsidRPr="00475828">
        <w:rPr>
          <w:lang w:val="cs-CZ"/>
        </w:rPr>
        <w:t xml:space="preserve"> princip, </w:t>
      </w:r>
      <w:r w:rsidR="005B6DAB">
        <w:rPr>
          <w:lang w:val="cs-CZ"/>
        </w:rPr>
        <w:t>což</w:t>
      </w:r>
      <w:r w:rsidR="005B6DAB" w:rsidRPr="00475828">
        <w:rPr>
          <w:lang w:val="cs-CZ"/>
        </w:rPr>
        <w:t xml:space="preserve"> </w:t>
      </w:r>
      <w:r w:rsidR="00F47BB3" w:rsidRPr="00475828">
        <w:rPr>
          <w:lang w:val="cs-CZ"/>
        </w:rPr>
        <w:t xml:space="preserve">znamená, že </w:t>
      </w:r>
      <w:r w:rsidR="00DD62D8">
        <w:rPr>
          <w:lang w:val="cs-CZ"/>
        </w:rPr>
        <w:t xml:space="preserve">společnosti </w:t>
      </w:r>
      <w:r w:rsidR="00F47BB3" w:rsidRPr="00475828">
        <w:rPr>
          <w:lang w:val="cs-CZ"/>
        </w:rPr>
        <w:t xml:space="preserve">Telia </w:t>
      </w:r>
      <w:proofErr w:type="spellStart"/>
      <w:r w:rsidR="00F47BB3" w:rsidRPr="00475828">
        <w:rPr>
          <w:lang w:val="cs-CZ"/>
        </w:rPr>
        <w:t>Denmark</w:t>
      </w:r>
      <w:proofErr w:type="spellEnd"/>
      <w:r w:rsidR="00F47BB3" w:rsidRPr="00475828">
        <w:rPr>
          <w:lang w:val="cs-CZ"/>
        </w:rPr>
        <w:t xml:space="preserve">, </w:t>
      </w:r>
      <w:proofErr w:type="spellStart"/>
      <w:r w:rsidR="00F47BB3" w:rsidRPr="00475828">
        <w:rPr>
          <w:lang w:val="cs-CZ"/>
        </w:rPr>
        <w:t>Telenor</w:t>
      </w:r>
      <w:proofErr w:type="spellEnd"/>
      <w:r w:rsidR="00F47BB3" w:rsidRPr="00475828">
        <w:rPr>
          <w:lang w:val="cs-CZ"/>
        </w:rPr>
        <w:t xml:space="preserve"> a </w:t>
      </w:r>
      <w:proofErr w:type="spellStart"/>
      <w:r w:rsidR="00F47BB3" w:rsidRPr="00475828">
        <w:rPr>
          <w:lang w:val="cs-CZ"/>
        </w:rPr>
        <w:t>Newco</w:t>
      </w:r>
      <w:proofErr w:type="spellEnd"/>
      <w:r w:rsidR="00F47BB3" w:rsidRPr="00475828">
        <w:rPr>
          <w:lang w:val="cs-CZ"/>
        </w:rPr>
        <w:t xml:space="preserve"> se budou chovat jako nezávislé </w:t>
      </w:r>
      <w:r w:rsidR="002503C9" w:rsidRPr="00475828">
        <w:rPr>
          <w:lang w:val="cs-CZ"/>
        </w:rPr>
        <w:t>subjekty a budou vzájemné dohody uzavíra</w:t>
      </w:r>
      <w:r w:rsidR="004B6F3E">
        <w:rPr>
          <w:lang w:val="cs-CZ"/>
        </w:rPr>
        <w:t>t</w:t>
      </w:r>
      <w:r w:rsidR="002503C9" w:rsidRPr="00475828">
        <w:rPr>
          <w:lang w:val="cs-CZ"/>
        </w:rPr>
        <w:t xml:space="preserve"> za běžných tržních podmínek.</w:t>
      </w:r>
    </w:p>
    <w:p w14:paraId="37CC5BB1" w14:textId="77777777" w:rsidR="00DF1335" w:rsidRPr="00475828" w:rsidRDefault="00DF1335" w:rsidP="005916AF">
      <w:pPr>
        <w:pStyle w:val="Nadpis2"/>
        <w:keepNext w:val="0"/>
        <w:numPr>
          <w:ilvl w:val="1"/>
          <w:numId w:val="3"/>
        </w:numPr>
      </w:pPr>
      <w:bookmarkStart w:id="164" w:name="_Toc301423675"/>
      <w:r w:rsidRPr="00475828">
        <w:t>Dílčí případová studie: Ekonomická zdůvodnitelnost výstavby sdílených a</w:t>
      </w:r>
      <w:r w:rsidR="00247FC2">
        <w:t> </w:t>
      </w:r>
      <w:r w:rsidRPr="00475828">
        <w:t>paralelních sítí v Německu</w:t>
      </w:r>
      <w:bookmarkEnd w:id="164"/>
    </w:p>
    <w:p w14:paraId="35E65DC2" w14:textId="77777777" w:rsidR="003A2E41" w:rsidRPr="00475828" w:rsidRDefault="003A2E41" w:rsidP="005916AF">
      <w:pPr>
        <w:ind w:firstLine="567"/>
        <w:rPr>
          <w:lang w:val="cs-CZ"/>
        </w:rPr>
      </w:pPr>
      <w:r w:rsidRPr="00475828">
        <w:rPr>
          <w:lang w:val="cs-CZ"/>
        </w:rPr>
        <w:t xml:space="preserve">Komise v roce 2003 posuzovala dopad smlouvy o sdílení sítí a poskytování národního roamingu v Německu mezi dvěma </w:t>
      </w:r>
      <w:proofErr w:type="spellStart"/>
      <w:r w:rsidRPr="00475828">
        <w:rPr>
          <w:lang w:val="cs-CZ"/>
        </w:rPr>
        <w:t>MNOs</w:t>
      </w:r>
      <w:proofErr w:type="spellEnd"/>
      <w:r w:rsidRPr="00475828">
        <w:rPr>
          <w:lang w:val="cs-CZ"/>
        </w:rPr>
        <w:t>.</w:t>
      </w:r>
      <w:r w:rsidRPr="00475828">
        <w:rPr>
          <w:vertAlign w:val="superscript"/>
          <w:lang w:val="cs-CZ"/>
        </w:rPr>
        <w:footnoteReference w:id="119"/>
      </w:r>
      <w:r w:rsidRPr="00475828">
        <w:rPr>
          <w:lang w:val="cs-CZ"/>
        </w:rPr>
        <w:t xml:space="preserve"> Komise tehdy ve svém rozhodnutí při posuzování dopadu závazku národního roamingu na 3G síti na</w:t>
      </w:r>
      <w:r w:rsidR="005B6DAB">
        <w:rPr>
          <w:lang w:val="cs-CZ"/>
        </w:rPr>
        <w:t> </w:t>
      </w:r>
      <w:r w:rsidRPr="00475828">
        <w:rPr>
          <w:lang w:val="cs-CZ"/>
        </w:rPr>
        <w:t xml:space="preserve">hospodářskou soutěž stanovila, že omezení hospodářské soutěže je závažnější v oblastech, kde je zřejmý ekonomický důvod pro </w:t>
      </w:r>
      <w:proofErr w:type="spellStart"/>
      <w:r w:rsidRPr="00475828">
        <w:rPr>
          <w:lang w:val="cs-CZ"/>
        </w:rPr>
        <w:t>roll-out</w:t>
      </w:r>
      <w:proofErr w:type="spellEnd"/>
      <w:r w:rsidRPr="00475828">
        <w:rPr>
          <w:lang w:val="cs-CZ"/>
        </w:rPr>
        <w:t xml:space="preserve"> paralelních konkurenčních sítí. Konkrétně za takové oblasti, kde je konkurence v důsledku národního roamingu více omezena, Komise považuje urbanistická centra. Naopak v rurálních a odlehlých oblastech, kde je ekonomická motivace k </w:t>
      </w:r>
      <w:proofErr w:type="spellStart"/>
      <w:r w:rsidRPr="00475828">
        <w:rPr>
          <w:lang w:val="cs-CZ"/>
        </w:rPr>
        <w:t>roll-outu</w:t>
      </w:r>
      <w:proofErr w:type="spellEnd"/>
      <w:r w:rsidRPr="00475828">
        <w:rPr>
          <w:lang w:val="cs-CZ"/>
        </w:rPr>
        <w:t xml:space="preserve"> sítí nižší, je omezující dopad národního roamingu na</w:t>
      </w:r>
      <w:r w:rsidR="005B6DAB">
        <w:rPr>
          <w:lang w:val="cs-CZ"/>
        </w:rPr>
        <w:t> </w:t>
      </w:r>
      <w:r w:rsidRPr="00475828">
        <w:rPr>
          <w:lang w:val="cs-CZ"/>
        </w:rPr>
        <w:t>hospodářskou soutěž menší. Domníváme se, že ačkoliv Komise ve svém rozhodnutí vyhodnocuje dopady národního roamingu a nikoliv sdílení sítí, lze tento závěr aplikovat také na</w:t>
      </w:r>
      <w:r w:rsidR="005B6DAB">
        <w:rPr>
          <w:lang w:val="cs-CZ"/>
        </w:rPr>
        <w:t> </w:t>
      </w:r>
      <w:proofErr w:type="spellStart"/>
      <w:r w:rsidRPr="00475828">
        <w:rPr>
          <w:lang w:val="cs-CZ"/>
        </w:rPr>
        <w:t>soutěžněprávní</w:t>
      </w:r>
      <w:proofErr w:type="spellEnd"/>
      <w:r w:rsidRPr="00475828">
        <w:rPr>
          <w:lang w:val="cs-CZ"/>
        </w:rPr>
        <w:t xml:space="preserve"> dopady sdílení sítí. </w:t>
      </w:r>
      <w:r w:rsidR="00524B14" w:rsidRPr="00475828">
        <w:rPr>
          <w:lang w:val="cs-CZ"/>
        </w:rPr>
        <w:t>Lze se domnívat, že s</w:t>
      </w:r>
      <w:r w:rsidRPr="00475828">
        <w:rPr>
          <w:lang w:val="cs-CZ"/>
        </w:rPr>
        <w:t>dílení sítí za účelem pokrytí odlehlých oblastí je ve vztahu k omezení hospodářské soutěže ještě přijatelnější než závazek národního roamingu, kde efektivně dochází ke sdílení páteřní sítě</w:t>
      </w:r>
      <w:r w:rsidR="00524B14" w:rsidRPr="00475828">
        <w:rPr>
          <w:lang w:val="cs-CZ"/>
        </w:rPr>
        <w:t>,</w:t>
      </w:r>
      <w:r w:rsidRPr="00475828">
        <w:rPr>
          <w:lang w:val="cs-CZ"/>
        </w:rPr>
        <w:t xml:space="preserve"> a tudíž je nezávislost sdílejících operátorů nižší než v případě sdílení sítí ve formě RAN.  </w:t>
      </w:r>
    </w:p>
    <w:p w14:paraId="61A7A7C0" w14:textId="77777777" w:rsidR="003A2E41" w:rsidRPr="00475828" w:rsidRDefault="003A2E41" w:rsidP="005916AF">
      <w:pPr>
        <w:ind w:firstLine="567"/>
        <w:rPr>
          <w:lang w:val="cs-CZ"/>
        </w:rPr>
      </w:pPr>
      <w:r w:rsidRPr="00475828">
        <w:rPr>
          <w:lang w:val="cs-CZ"/>
        </w:rPr>
        <w:t>Sdílením sítí v rurálních a odlehlých oblastech se</w:t>
      </w:r>
      <w:r w:rsidR="005B6DAB" w:rsidRPr="005B6DAB">
        <w:rPr>
          <w:lang w:val="cs-CZ"/>
        </w:rPr>
        <w:t xml:space="preserve"> </w:t>
      </w:r>
      <w:r w:rsidR="005B6DAB" w:rsidRPr="00475828">
        <w:rPr>
          <w:lang w:val="cs-CZ"/>
        </w:rPr>
        <w:t xml:space="preserve">ve svém stanovisku ke sdílení </w:t>
      </w:r>
      <w:r w:rsidR="005B6DAB">
        <w:rPr>
          <w:lang w:val="cs-CZ"/>
        </w:rPr>
        <w:t>síťové infrastruktury a spektra</w:t>
      </w:r>
      <w:r w:rsidR="005B6DAB" w:rsidRPr="00475828">
        <w:rPr>
          <w:vertAlign w:val="superscript"/>
          <w:lang w:val="cs-CZ"/>
        </w:rPr>
        <w:footnoteReference w:id="120"/>
      </w:r>
      <w:r w:rsidR="005B6DAB" w:rsidRPr="00475828">
        <w:rPr>
          <w:lang w:val="cs-CZ"/>
        </w:rPr>
        <w:t xml:space="preserve"> </w:t>
      </w:r>
      <w:r w:rsidRPr="00475828">
        <w:rPr>
          <w:lang w:val="cs-CZ"/>
        </w:rPr>
        <w:t xml:space="preserve">zabývá také </w:t>
      </w:r>
      <w:proofErr w:type="spellStart"/>
      <w:r w:rsidRPr="00475828">
        <w:rPr>
          <w:lang w:val="cs-CZ"/>
        </w:rPr>
        <w:t>Bundesnetzagentur</w:t>
      </w:r>
      <w:proofErr w:type="spellEnd"/>
      <w:r w:rsidRPr="00475828">
        <w:rPr>
          <w:lang w:val="cs-CZ"/>
        </w:rPr>
        <w:t>, německý NRA</w:t>
      </w:r>
      <w:r w:rsidR="00272732">
        <w:rPr>
          <w:lang w:val="cs-CZ"/>
        </w:rPr>
        <w:t>.</w:t>
      </w:r>
      <w:r w:rsidRPr="00475828">
        <w:rPr>
          <w:lang w:val="cs-CZ"/>
        </w:rPr>
        <w:t xml:space="preserve"> V části II. tohoto stanoviska </w:t>
      </w:r>
      <w:r w:rsidR="00272732">
        <w:rPr>
          <w:lang w:val="cs-CZ"/>
        </w:rPr>
        <w:t xml:space="preserve">tento </w:t>
      </w:r>
      <w:r w:rsidRPr="00475828">
        <w:rPr>
          <w:lang w:val="cs-CZ"/>
        </w:rPr>
        <w:t>NRA stanoví, že zejména v případech, kdy je dle německé vládní strategie pro širokopásmový přenos</w:t>
      </w:r>
      <w:r w:rsidRPr="00475828">
        <w:rPr>
          <w:vertAlign w:val="superscript"/>
          <w:lang w:val="cs-CZ"/>
        </w:rPr>
        <w:footnoteReference w:id="121"/>
      </w:r>
      <w:r w:rsidRPr="00475828">
        <w:rPr>
          <w:lang w:val="cs-CZ"/>
        </w:rPr>
        <w:t xml:space="preserve"> cílem poskytnout </w:t>
      </w:r>
      <w:proofErr w:type="spellStart"/>
      <w:r w:rsidRPr="00475828">
        <w:rPr>
          <w:lang w:val="cs-CZ"/>
        </w:rPr>
        <w:t>broadband</w:t>
      </w:r>
      <w:proofErr w:type="spellEnd"/>
      <w:r w:rsidRPr="00475828">
        <w:rPr>
          <w:lang w:val="cs-CZ"/>
        </w:rPr>
        <w:t xml:space="preserve"> v rurálních oblastech co nejdřív, může být </w:t>
      </w:r>
      <w:r w:rsidR="00A1360F">
        <w:rPr>
          <w:lang w:val="cs-CZ"/>
        </w:rPr>
        <w:t xml:space="preserve">pro </w:t>
      </w:r>
      <w:r w:rsidRPr="00475828">
        <w:rPr>
          <w:lang w:val="cs-CZ"/>
        </w:rPr>
        <w:t xml:space="preserve">operátory výhodné sdílet frekvence. Pod podmínkou časového a geografického omezení by takové sdílení frekvencí vedlo ke snížení nákladů pro operátory a zároveň ke zvýšení kapacity sítě, tudíž ke zvýšení rychlosti připojení. NRA připouští, že sdílení spektra by mohlo být za výše uvedených omezení přípustné. </w:t>
      </w:r>
    </w:p>
    <w:p w14:paraId="77DB6D81" w14:textId="77777777" w:rsidR="00473722" w:rsidRPr="00475828" w:rsidRDefault="003A2E41" w:rsidP="005916AF">
      <w:pPr>
        <w:ind w:firstLine="567"/>
        <w:rPr>
          <w:lang w:val="cs-CZ"/>
        </w:rPr>
      </w:pPr>
      <w:r w:rsidRPr="00475828">
        <w:rPr>
          <w:lang w:val="cs-CZ"/>
        </w:rPr>
        <w:t>Ze stanovisek Komise i německého NRA je patrné, že výstavba paralelních sítí, zejména paralelních pasivních infrastruktur, nemusí být</w:t>
      </w:r>
      <w:r w:rsidR="009031E6" w:rsidRPr="00475828">
        <w:rPr>
          <w:lang w:val="cs-CZ"/>
        </w:rPr>
        <w:t xml:space="preserve"> (alespoň na omezenou dobu)</w:t>
      </w:r>
      <w:r w:rsidRPr="00475828">
        <w:rPr>
          <w:lang w:val="cs-CZ"/>
        </w:rPr>
        <w:t xml:space="preserve"> nutně nejlepší cestou ke splnění regulatorních cílů.</w:t>
      </w:r>
    </w:p>
    <w:p w14:paraId="3804D843" w14:textId="77777777" w:rsidR="00D9682F" w:rsidRPr="00475828" w:rsidRDefault="00AF69F1" w:rsidP="005916AF">
      <w:pPr>
        <w:pStyle w:val="Nadpis1"/>
        <w:keepNext w:val="0"/>
        <w:numPr>
          <w:ilvl w:val="0"/>
          <w:numId w:val="3"/>
        </w:numPr>
        <w:spacing w:before="360"/>
        <w:rPr>
          <w:lang w:val="cs-CZ"/>
        </w:rPr>
      </w:pPr>
      <w:bookmarkStart w:id="165" w:name="_Toc301423676"/>
      <w:r w:rsidRPr="00475828">
        <w:rPr>
          <w:lang w:val="cs-CZ"/>
        </w:rPr>
        <w:t xml:space="preserve">Sdílení </w:t>
      </w:r>
      <w:r w:rsidR="00A7793E" w:rsidRPr="00475828">
        <w:rPr>
          <w:lang w:val="cs-CZ"/>
        </w:rPr>
        <w:t xml:space="preserve">sítí </w:t>
      </w:r>
      <w:r w:rsidRPr="00475828">
        <w:rPr>
          <w:lang w:val="cs-CZ"/>
        </w:rPr>
        <w:t>v</w:t>
      </w:r>
      <w:r w:rsidR="004955C7" w:rsidRPr="00475828">
        <w:rPr>
          <w:lang w:val="cs-CZ"/>
        </w:rPr>
        <w:t> </w:t>
      </w:r>
      <w:r w:rsidRPr="00475828">
        <w:rPr>
          <w:lang w:val="cs-CZ"/>
        </w:rPr>
        <w:t>Č</w:t>
      </w:r>
      <w:r w:rsidR="004955C7" w:rsidRPr="00475828">
        <w:rPr>
          <w:lang w:val="cs-CZ"/>
        </w:rPr>
        <w:t>eské republice</w:t>
      </w:r>
      <w:bookmarkEnd w:id="165"/>
    </w:p>
    <w:p w14:paraId="2CE9597C" w14:textId="0865285F" w:rsidR="00D047EB" w:rsidRPr="00475828" w:rsidRDefault="002C034C" w:rsidP="005916AF">
      <w:pPr>
        <w:ind w:firstLine="567"/>
        <w:rPr>
          <w:lang w:val="cs-CZ"/>
        </w:rPr>
      </w:pPr>
      <w:r w:rsidRPr="00475828">
        <w:rPr>
          <w:lang w:val="cs-CZ"/>
        </w:rPr>
        <w:t>Ta</w:t>
      </w:r>
      <w:r w:rsidR="00D047EB" w:rsidRPr="00475828">
        <w:rPr>
          <w:lang w:val="cs-CZ"/>
        </w:rPr>
        <w:t xml:space="preserve">to část </w:t>
      </w:r>
      <w:r w:rsidR="00E078F6" w:rsidRPr="00475828">
        <w:rPr>
          <w:lang w:val="cs-CZ"/>
        </w:rPr>
        <w:t xml:space="preserve">Stanoviska </w:t>
      </w:r>
      <w:r w:rsidR="00D047EB" w:rsidRPr="00475828">
        <w:rPr>
          <w:lang w:val="cs-CZ"/>
        </w:rPr>
        <w:t xml:space="preserve">popisuje model sdílení sítí a shrnuje základní strukturu a podmínky smluv o sdílení sítí 2G, 3G a 4G mezi společnostmi T-Mobile a O2. </w:t>
      </w:r>
    </w:p>
    <w:p w14:paraId="4A3E638E" w14:textId="0629B082" w:rsidR="005916AF" w:rsidRPr="00C95099" w:rsidRDefault="00F34E9B" w:rsidP="00C95099">
      <w:pPr>
        <w:ind w:firstLine="567"/>
        <w:rPr>
          <w:rFonts w:cs="Arial"/>
          <w:lang w:val="cs-CZ"/>
        </w:rPr>
      </w:pPr>
      <w:r>
        <w:rPr>
          <w:rFonts w:cs="Arial"/>
          <w:highlight w:val="yellow"/>
          <w:lang w:val="cs-CZ"/>
        </w:rPr>
        <w:t>[</w:t>
      </w:r>
      <w:r w:rsidRPr="00431AA8">
        <w:rPr>
          <w:rFonts w:cs="Arial"/>
          <w:i/>
          <w:highlight w:val="yellow"/>
          <w:lang w:val="cs-CZ"/>
        </w:rPr>
        <w:t>Obchodní tajemství</w:t>
      </w:r>
      <w:r>
        <w:rPr>
          <w:rFonts w:cs="Arial"/>
          <w:i/>
          <w:highlight w:val="yellow"/>
          <w:lang w:val="cs-CZ"/>
        </w:rPr>
        <w:t>.</w:t>
      </w:r>
      <w:r>
        <w:rPr>
          <w:rFonts w:cs="Arial"/>
          <w:highlight w:val="yellow"/>
          <w:lang w:val="cs-CZ"/>
        </w:rPr>
        <w:t>]</w:t>
      </w:r>
      <w:bookmarkStart w:id="166" w:name="_Toc412465717"/>
      <w:bookmarkStart w:id="167" w:name="_Toc412467266"/>
      <w:bookmarkStart w:id="168" w:name="_Toc412467381"/>
      <w:bookmarkStart w:id="169" w:name="_Toc412467574"/>
      <w:bookmarkStart w:id="170" w:name="_Toc412467795"/>
      <w:bookmarkStart w:id="171" w:name="_Toc412467885"/>
      <w:bookmarkStart w:id="172" w:name="_Toc412467973"/>
      <w:bookmarkStart w:id="173" w:name="_Toc412468969"/>
      <w:bookmarkStart w:id="174" w:name="_Toc412470527"/>
      <w:bookmarkStart w:id="175" w:name="_Toc412470732"/>
      <w:bookmarkStart w:id="176" w:name="_Toc412471025"/>
      <w:bookmarkStart w:id="177" w:name="_Toc412471104"/>
      <w:bookmarkStart w:id="178" w:name="_Toc412471183"/>
      <w:bookmarkStart w:id="179" w:name="_Toc412471261"/>
      <w:bookmarkStart w:id="180" w:name="_Toc412471340"/>
      <w:bookmarkStart w:id="181" w:name="_Toc412471418"/>
      <w:bookmarkStart w:id="182" w:name="_Toc412471498"/>
      <w:bookmarkStart w:id="183" w:name="_Toc412471577"/>
      <w:bookmarkStart w:id="184" w:name="_Toc412471816"/>
      <w:bookmarkStart w:id="185" w:name="_Toc412471895"/>
      <w:bookmarkStart w:id="186" w:name="_Toc412471973"/>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567E1820" w14:textId="77777777" w:rsidR="00AF69F1" w:rsidRPr="00475828" w:rsidRDefault="00E37D7F" w:rsidP="005916AF">
      <w:pPr>
        <w:pStyle w:val="Nadpis1"/>
        <w:keepNext w:val="0"/>
        <w:numPr>
          <w:ilvl w:val="0"/>
          <w:numId w:val="3"/>
        </w:numPr>
        <w:spacing w:before="360"/>
        <w:rPr>
          <w:lang w:val="cs-CZ"/>
        </w:rPr>
      </w:pPr>
      <w:bookmarkStart w:id="187" w:name="_Toc301423677"/>
      <w:r w:rsidRPr="00475828">
        <w:rPr>
          <w:lang w:val="cs-CZ"/>
        </w:rPr>
        <w:t>Vyhodnocení sdílení sítí v České republice v kontextu</w:t>
      </w:r>
      <w:r w:rsidR="003E1C2C" w:rsidRPr="00475828">
        <w:rPr>
          <w:lang w:val="cs-CZ"/>
        </w:rPr>
        <w:t xml:space="preserve"> </w:t>
      </w:r>
      <w:r w:rsidR="004955C7" w:rsidRPr="00475828">
        <w:rPr>
          <w:lang w:val="cs-CZ"/>
        </w:rPr>
        <w:t xml:space="preserve">EU </w:t>
      </w:r>
      <w:proofErr w:type="spellStart"/>
      <w:r w:rsidR="003E1C2C" w:rsidRPr="00475828">
        <w:rPr>
          <w:lang w:val="cs-CZ"/>
        </w:rPr>
        <w:t>benchmarku</w:t>
      </w:r>
      <w:bookmarkEnd w:id="187"/>
      <w:proofErr w:type="spellEnd"/>
    </w:p>
    <w:p w14:paraId="3E705FCA" w14:textId="77777777" w:rsidR="00933698" w:rsidRPr="00475828" w:rsidRDefault="00933698" w:rsidP="005916AF">
      <w:pPr>
        <w:ind w:firstLine="567"/>
        <w:rPr>
          <w:lang w:val="cs-CZ"/>
        </w:rPr>
      </w:pPr>
      <w:r w:rsidRPr="00475828">
        <w:rPr>
          <w:lang w:val="cs-CZ"/>
        </w:rPr>
        <w:t>Obecně lze shrn</w:t>
      </w:r>
      <w:r w:rsidR="00F83234" w:rsidRPr="00475828">
        <w:rPr>
          <w:lang w:val="cs-CZ"/>
        </w:rPr>
        <w:t xml:space="preserve">out, že dohody o sdílení sítí </w:t>
      </w:r>
      <w:r w:rsidRPr="00475828">
        <w:rPr>
          <w:lang w:val="cs-CZ"/>
        </w:rPr>
        <w:t xml:space="preserve">jsou v Evropské unii </w:t>
      </w:r>
      <w:r w:rsidR="00F83234" w:rsidRPr="00475828">
        <w:rPr>
          <w:lang w:val="cs-CZ"/>
        </w:rPr>
        <w:t>i</w:t>
      </w:r>
      <w:r w:rsidRPr="00475828">
        <w:rPr>
          <w:lang w:val="cs-CZ"/>
        </w:rPr>
        <w:t xml:space="preserve"> jinde ve světě </w:t>
      </w:r>
      <w:r w:rsidR="00F83234" w:rsidRPr="00475828">
        <w:rPr>
          <w:lang w:val="cs-CZ"/>
        </w:rPr>
        <w:t>běžným jevem</w:t>
      </w:r>
      <w:r w:rsidRPr="00475828">
        <w:rPr>
          <w:lang w:val="cs-CZ"/>
        </w:rPr>
        <w:t>. Sdílení pasivních prvků sítě je běžnou realitou ve většině zemí Evropské unie. Sdílení aktivních prvků, sdílení frekvencí či národní r</w:t>
      </w:r>
      <w:r w:rsidR="00F83234" w:rsidRPr="00475828">
        <w:rPr>
          <w:lang w:val="cs-CZ"/>
        </w:rPr>
        <w:t>oaming je také čím dál častější</w:t>
      </w:r>
      <w:r w:rsidRPr="00475828">
        <w:rPr>
          <w:lang w:val="cs-CZ"/>
        </w:rPr>
        <w:t xml:space="preserve">, vyvolává nicméně silnější obavy regulátorů ohledně dopadů na hospodářskou soutěž. </w:t>
      </w:r>
    </w:p>
    <w:p w14:paraId="78178BE4" w14:textId="632AF39A" w:rsidR="00933698" w:rsidRPr="00475828" w:rsidRDefault="00933698" w:rsidP="005916AF">
      <w:pPr>
        <w:ind w:firstLine="567"/>
        <w:rPr>
          <w:lang w:val="cs-CZ"/>
        </w:rPr>
      </w:pPr>
      <w:r w:rsidRPr="00475828">
        <w:rPr>
          <w:lang w:val="cs-CZ"/>
        </w:rPr>
        <w:t xml:space="preserve">Dle dostupných informací lze konstatovat, že sdílení sítí mezi TMCZ a O2 je nejvíce podobná situace sdílení ve Francii. Sdílející operátoři, SFR a </w:t>
      </w:r>
      <w:proofErr w:type="spellStart"/>
      <w:r w:rsidRPr="00475828">
        <w:rPr>
          <w:lang w:val="cs-CZ"/>
        </w:rPr>
        <w:t>Bouygues</w:t>
      </w:r>
      <w:proofErr w:type="spellEnd"/>
      <w:r w:rsidRPr="00475828">
        <w:rPr>
          <w:lang w:val="cs-CZ"/>
        </w:rPr>
        <w:t xml:space="preserve"> (druhý, respektive třetí hráč na francouzském mobilním trhu), sdílejí pasivní i aktivní prvky infrastruktury pro sítě 2G, 3G a 4G; zároveň také, smlouva mezi SFR a </w:t>
      </w:r>
      <w:proofErr w:type="spellStart"/>
      <w:r w:rsidRPr="00475828">
        <w:rPr>
          <w:lang w:val="cs-CZ"/>
        </w:rPr>
        <w:t>Bouygues</w:t>
      </w:r>
      <w:proofErr w:type="spellEnd"/>
      <w:r w:rsidRPr="00475828">
        <w:rPr>
          <w:lang w:val="cs-CZ"/>
        </w:rPr>
        <w:t xml:space="preserve"> předpokládá dočasné poskytnutí národního roamingu společností </w:t>
      </w:r>
      <w:proofErr w:type="spellStart"/>
      <w:r w:rsidRPr="00475828">
        <w:rPr>
          <w:lang w:val="cs-CZ"/>
        </w:rPr>
        <w:t>Bouygues</w:t>
      </w:r>
      <w:proofErr w:type="spellEnd"/>
      <w:r w:rsidRPr="00475828">
        <w:rPr>
          <w:lang w:val="cs-CZ"/>
        </w:rPr>
        <w:t xml:space="preserve"> společnosti SFR pro 4G služby a také možnost sdílení frekvencí v pásmu 800 MHz, které je dle rozhodnutí ARCEP určeno pro poskytování 4G služeb. </w:t>
      </w:r>
    </w:p>
    <w:p w14:paraId="3A5E9CEB" w14:textId="286915C8" w:rsidR="001B5062" w:rsidRPr="00475828" w:rsidRDefault="00933698" w:rsidP="005916AF">
      <w:pPr>
        <w:ind w:firstLine="567"/>
        <w:rPr>
          <w:i/>
          <w:color w:val="00B050"/>
          <w:lang w:val="cs-CZ"/>
        </w:rPr>
      </w:pPr>
      <w:r w:rsidRPr="00475828">
        <w:rPr>
          <w:lang w:val="cs-CZ"/>
        </w:rPr>
        <w:t>Skutečnost, která dle dostupných informací odlišuje sdílení v České republice od</w:t>
      </w:r>
      <w:r w:rsidR="00272732">
        <w:rPr>
          <w:lang w:val="cs-CZ"/>
        </w:rPr>
        <w:t> </w:t>
      </w:r>
      <w:r w:rsidRPr="00475828">
        <w:rPr>
          <w:lang w:val="cs-CZ"/>
        </w:rPr>
        <w:t>případů sdílení v</w:t>
      </w:r>
      <w:r w:rsidR="00F83234" w:rsidRPr="00475828">
        <w:rPr>
          <w:lang w:val="cs-CZ"/>
        </w:rPr>
        <w:t> </w:t>
      </w:r>
      <w:r w:rsidRPr="00475828">
        <w:rPr>
          <w:lang w:val="cs-CZ"/>
        </w:rPr>
        <w:t>jiných</w:t>
      </w:r>
      <w:r w:rsidR="00F83234" w:rsidRPr="00475828">
        <w:rPr>
          <w:lang w:val="cs-CZ"/>
        </w:rPr>
        <w:t xml:space="preserve"> členských</w:t>
      </w:r>
      <w:r w:rsidRPr="00475828">
        <w:rPr>
          <w:lang w:val="cs-CZ"/>
        </w:rPr>
        <w:t xml:space="preserve"> státech Evropské unie, je tržní situace: ve většině zemí, ve kterých byly uzavřeny dohody o sdílení, působí čtyři a více </w:t>
      </w:r>
      <w:proofErr w:type="spellStart"/>
      <w:r w:rsidRPr="00475828">
        <w:rPr>
          <w:lang w:val="cs-CZ"/>
        </w:rPr>
        <w:t>MNOs</w:t>
      </w:r>
      <w:proofErr w:type="spellEnd"/>
      <w:r w:rsidRPr="00475828">
        <w:rPr>
          <w:lang w:val="cs-CZ"/>
        </w:rPr>
        <w:t>. To ponechá</w:t>
      </w:r>
      <w:r w:rsidR="00F83234" w:rsidRPr="00475828">
        <w:rPr>
          <w:lang w:val="cs-CZ"/>
        </w:rPr>
        <w:t>vá</w:t>
      </w:r>
      <w:r w:rsidRPr="00475828">
        <w:rPr>
          <w:lang w:val="cs-CZ"/>
        </w:rPr>
        <w:t xml:space="preserve"> alespoň teoretickou možnost, aby mimo</w:t>
      </w:r>
      <w:r w:rsidR="0008774A">
        <w:rPr>
          <w:lang w:val="cs-CZ"/>
        </w:rPr>
        <w:t xml:space="preserve"> </w:t>
      </w:r>
      <w:r w:rsidRPr="00475828">
        <w:rPr>
          <w:lang w:val="cs-CZ"/>
        </w:rPr>
        <w:t xml:space="preserve">stojící hráči reagovali na sdílení sítí mezi dvěma operátory jinou dohodou o spolupráci na úrovni infrastruktury. V některých zemích se tak stalo, v jiných nikoli. Rozložení tržních podílů mezi sdílejícími a nesdílejícími operátory se nicméně ve vztahu k analyzovaným rizikům, </w:t>
      </w:r>
      <w:r w:rsidR="009858BC" w:rsidRPr="00475828">
        <w:rPr>
          <w:lang w:val="cs-CZ"/>
        </w:rPr>
        <w:t>kter</w:t>
      </w:r>
      <w:r w:rsidR="009858BC">
        <w:rPr>
          <w:lang w:val="cs-CZ"/>
        </w:rPr>
        <w:t>á</w:t>
      </w:r>
      <w:r w:rsidR="009858BC" w:rsidRPr="00475828">
        <w:rPr>
          <w:lang w:val="cs-CZ"/>
        </w:rPr>
        <w:t xml:space="preserve"> </w:t>
      </w:r>
      <w:r w:rsidRPr="00475828">
        <w:rPr>
          <w:lang w:val="cs-CZ"/>
        </w:rPr>
        <w:t xml:space="preserve">jsou obvykle regulátory </w:t>
      </w:r>
      <w:r w:rsidR="009858BC" w:rsidRPr="00475828">
        <w:rPr>
          <w:lang w:val="cs-CZ"/>
        </w:rPr>
        <w:t>identifikován</w:t>
      </w:r>
      <w:r w:rsidR="009858BC">
        <w:rPr>
          <w:lang w:val="cs-CZ"/>
        </w:rPr>
        <w:t>a</w:t>
      </w:r>
      <w:r w:rsidRPr="00475828">
        <w:rPr>
          <w:lang w:val="cs-CZ"/>
        </w:rPr>
        <w:t>, nejeví jako zásadní okolnost, která by zcela měnila závěry regulátorů ohledně dopadů sdílení sítí na hospodářskou soutěž. Úřad neidenti</w:t>
      </w:r>
      <w:r w:rsidR="00F83234" w:rsidRPr="00475828">
        <w:rPr>
          <w:lang w:val="cs-CZ"/>
        </w:rPr>
        <w:t xml:space="preserve">fikoval žádné zdroje, které by </w:t>
      </w:r>
      <w:r w:rsidRPr="00475828">
        <w:rPr>
          <w:lang w:val="cs-CZ"/>
        </w:rPr>
        <w:t>podporovaly záv</w:t>
      </w:r>
      <w:r w:rsidR="00F83234" w:rsidRPr="00475828">
        <w:rPr>
          <w:lang w:val="cs-CZ"/>
        </w:rPr>
        <w:t xml:space="preserve">ěr, že na trhu se třemi </w:t>
      </w:r>
      <w:proofErr w:type="spellStart"/>
      <w:r w:rsidR="00F83234" w:rsidRPr="00475828">
        <w:rPr>
          <w:lang w:val="cs-CZ"/>
        </w:rPr>
        <w:t>MNOs</w:t>
      </w:r>
      <w:proofErr w:type="spellEnd"/>
      <w:r w:rsidR="00F83234" w:rsidRPr="00475828">
        <w:rPr>
          <w:lang w:val="cs-CZ"/>
        </w:rPr>
        <w:t xml:space="preserve"> by </w:t>
      </w:r>
      <w:r w:rsidRPr="00475828">
        <w:rPr>
          <w:lang w:val="cs-CZ"/>
        </w:rPr>
        <w:t>sdílení mobilních sítí bylo předem nepřípustné. Lze nicméně předpokládat, že</w:t>
      </w:r>
      <w:r w:rsidR="00272732">
        <w:rPr>
          <w:lang w:val="cs-CZ"/>
        </w:rPr>
        <w:t> </w:t>
      </w:r>
      <w:r w:rsidRPr="00475828">
        <w:rPr>
          <w:lang w:val="cs-CZ"/>
        </w:rPr>
        <w:t xml:space="preserve">v případě použití předkládaného </w:t>
      </w:r>
      <w:proofErr w:type="spellStart"/>
      <w:r w:rsidRPr="00475828">
        <w:rPr>
          <w:lang w:val="cs-CZ"/>
        </w:rPr>
        <w:t>benchmarku</w:t>
      </w:r>
      <w:proofErr w:type="spellEnd"/>
      <w:r w:rsidRPr="00475828">
        <w:rPr>
          <w:lang w:val="cs-CZ"/>
        </w:rPr>
        <w:t xml:space="preserve"> jako dílčího argumentu pro přípustnost sdílení sítí mezi TMCZ a O2 budou mimo</w:t>
      </w:r>
      <w:r w:rsidR="0008774A">
        <w:rPr>
          <w:lang w:val="cs-CZ"/>
        </w:rPr>
        <w:t xml:space="preserve"> </w:t>
      </w:r>
      <w:r w:rsidRPr="00475828">
        <w:rPr>
          <w:lang w:val="cs-CZ"/>
        </w:rPr>
        <w:t>stojící subjekty namítat právě tento rozdíl ve vztahu k jiným zemím zahrnutým v </w:t>
      </w:r>
      <w:proofErr w:type="spellStart"/>
      <w:r w:rsidRPr="00475828">
        <w:rPr>
          <w:lang w:val="cs-CZ"/>
        </w:rPr>
        <w:t>benchmarku</w:t>
      </w:r>
      <w:proofErr w:type="spellEnd"/>
      <w:r w:rsidRPr="00475828">
        <w:rPr>
          <w:lang w:val="cs-CZ"/>
        </w:rPr>
        <w:t xml:space="preserve"> a případových studiích. Rozložení tržních podílů mezi</w:t>
      </w:r>
      <w:r w:rsidR="00272732">
        <w:rPr>
          <w:lang w:val="cs-CZ"/>
        </w:rPr>
        <w:t> </w:t>
      </w:r>
      <w:r w:rsidRPr="00475828">
        <w:rPr>
          <w:lang w:val="cs-CZ"/>
        </w:rPr>
        <w:t>sdílejícími a nesdílejícími operátory se nicméně ve vztahu k analyzovaným rizikům, které</w:t>
      </w:r>
      <w:r w:rsidR="00272732">
        <w:rPr>
          <w:lang w:val="cs-CZ"/>
        </w:rPr>
        <w:t> </w:t>
      </w:r>
      <w:r w:rsidRPr="00475828">
        <w:rPr>
          <w:lang w:val="cs-CZ"/>
        </w:rPr>
        <w:t>jsou obvykle regulátory identifikovány, nejeví jako zásadní okolnost, která by zcela měnila závěry ohledně dopadů sdílení sítí na hospodářskou soutěž.</w:t>
      </w:r>
      <w:r w:rsidR="00183FFE" w:rsidRPr="00475828">
        <w:rPr>
          <w:lang w:val="cs-CZ"/>
        </w:rPr>
        <w:t xml:space="preserve"> Studie OECD</w:t>
      </w:r>
      <w:r w:rsidR="00183FFE" w:rsidRPr="00475828">
        <w:rPr>
          <w:rStyle w:val="Znakapoznpodarou"/>
          <w:lang w:val="cs-CZ"/>
        </w:rPr>
        <w:footnoteReference w:id="122"/>
      </w:r>
      <w:r w:rsidR="00183FFE" w:rsidRPr="00475828">
        <w:rPr>
          <w:lang w:val="cs-CZ"/>
        </w:rPr>
        <w:t xml:space="preserve"> v obecné rovině upozorňuje na skutečnost, že sdílení sítí může být problematičtější na trhu, kde jsou pouze tři </w:t>
      </w:r>
      <w:proofErr w:type="spellStart"/>
      <w:r w:rsidR="00183FFE" w:rsidRPr="00475828">
        <w:rPr>
          <w:lang w:val="cs-CZ"/>
        </w:rPr>
        <w:t>MNOs</w:t>
      </w:r>
      <w:proofErr w:type="spellEnd"/>
      <w:r w:rsidR="00183FFE" w:rsidRPr="00475828">
        <w:rPr>
          <w:lang w:val="cs-CZ"/>
        </w:rPr>
        <w:t>: v takovém případě totiž existuje riziko, že se regulátor pokusí vyrovnat nevýhodu vyplývající ze sdílení sítí dvěma operátory pro třetího nesdílejícího operátora; to však podle OECD může vyústit v ještě větší koncentraci na trhu a méně intenzivní hospodářskou soutěž na podřazených maloobchodních trzích.</w:t>
      </w:r>
      <w:bookmarkStart w:id="188" w:name="_Ref415659333"/>
      <w:r w:rsidR="00183FFE" w:rsidRPr="00475828">
        <w:rPr>
          <w:rStyle w:val="Znakapoznpodarou"/>
          <w:lang w:val="cs-CZ"/>
        </w:rPr>
        <w:footnoteReference w:id="123"/>
      </w:r>
      <w:bookmarkEnd w:id="188"/>
      <w:r w:rsidR="00183FFE" w:rsidRPr="00475828">
        <w:rPr>
          <w:lang w:val="cs-CZ"/>
        </w:rPr>
        <w:t xml:space="preserve"> </w:t>
      </w:r>
    </w:p>
    <w:p w14:paraId="5AB6BD35" w14:textId="77777777" w:rsidR="00ED7AA1" w:rsidRPr="00475828" w:rsidRDefault="00773633" w:rsidP="005916AF">
      <w:pPr>
        <w:pStyle w:val="Nadpis1"/>
        <w:keepNext w:val="0"/>
        <w:numPr>
          <w:ilvl w:val="0"/>
          <w:numId w:val="3"/>
        </w:numPr>
        <w:spacing w:before="360"/>
        <w:rPr>
          <w:lang w:val="cs-CZ"/>
        </w:rPr>
      </w:pPr>
      <w:bookmarkStart w:id="189" w:name="_Toc301423678"/>
      <w:r w:rsidRPr="00475828">
        <w:rPr>
          <w:lang w:val="cs-CZ"/>
        </w:rPr>
        <w:t>Dopad</w:t>
      </w:r>
      <w:r w:rsidR="00491FA0" w:rsidRPr="00475828">
        <w:rPr>
          <w:lang w:val="cs-CZ"/>
        </w:rPr>
        <w:t xml:space="preserve"> sdílení sítí na hospodářskou soutěž</w:t>
      </w:r>
      <w:r w:rsidRPr="00475828">
        <w:rPr>
          <w:lang w:val="cs-CZ"/>
        </w:rPr>
        <w:t xml:space="preserve"> </w:t>
      </w:r>
      <w:r w:rsidR="00F83234" w:rsidRPr="00475828">
        <w:rPr>
          <w:lang w:val="cs-CZ"/>
        </w:rPr>
        <w:t>dle evropského práva</w:t>
      </w:r>
      <w:bookmarkEnd w:id="189"/>
      <w:r w:rsidR="00986A02" w:rsidRPr="00475828">
        <w:rPr>
          <w:lang w:val="cs-CZ"/>
        </w:rPr>
        <w:t xml:space="preserve"> </w:t>
      </w:r>
    </w:p>
    <w:p w14:paraId="2F85924A" w14:textId="77777777" w:rsidR="00986A02" w:rsidRPr="00475828" w:rsidRDefault="00986A02" w:rsidP="005916AF">
      <w:pPr>
        <w:pStyle w:val="Nadpis2"/>
        <w:keepNext w:val="0"/>
        <w:numPr>
          <w:ilvl w:val="1"/>
          <w:numId w:val="3"/>
        </w:numPr>
      </w:pPr>
      <w:bookmarkStart w:id="190" w:name="_Toc301423679"/>
      <w:r w:rsidRPr="00475828">
        <w:t>Dopad sdílení sítí na hospodářskou soutěž dle Sdělení Komise č. 2011/C 11/01</w:t>
      </w:r>
      <w:bookmarkEnd w:id="190"/>
    </w:p>
    <w:p w14:paraId="3249FA46" w14:textId="77777777" w:rsidR="007879E3" w:rsidRPr="00475828" w:rsidRDefault="007879E3" w:rsidP="005916AF">
      <w:pPr>
        <w:ind w:firstLine="567"/>
        <w:rPr>
          <w:lang w:val="cs-CZ"/>
        </w:rPr>
      </w:pPr>
      <w:r w:rsidRPr="00475828">
        <w:rPr>
          <w:lang w:val="cs-CZ"/>
        </w:rPr>
        <w:t>Při posouzení případných dopadů sdílení sítí na hospodářskou soutěž je potřeba zhodnotit, zda určitý typ sdílení bude mít vliv na soutěž na relevantním maloobchodním a</w:t>
      </w:r>
      <w:r w:rsidR="00247FC2">
        <w:rPr>
          <w:lang w:val="cs-CZ"/>
        </w:rPr>
        <w:t> </w:t>
      </w:r>
      <w:r w:rsidRPr="00475828">
        <w:rPr>
          <w:lang w:val="cs-CZ"/>
        </w:rPr>
        <w:t>velkoobchodním trhu. Základním ustanovením evropského práva ve vztahu k hospodářské soutěži je ustanovení čl. 101 SFEU.</w:t>
      </w:r>
      <w:r w:rsidRPr="00475828">
        <w:rPr>
          <w:rStyle w:val="Znakapoznpodarou"/>
          <w:lang w:val="cs-CZ"/>
        </w:rPr>
        <w:footnoteReference w:id="124"/>
      </w:r>
      <w:r w:rsidRPr="00475828">
        <w:rPr>
          <w:lang w:val="cs-CZ"/>
        </w:rPr>
        <w:t xml:space="preserve"> Evropská Komise vydala v roce 2011 Sdělení</w:t>
      </w:r>
      <w:r w:rsidR="00AA0FD0" w:rsidRPr="00475828">
        <w:rPr>
          <w:lang w:val="cs-CZ"/>
        </w:rPr>
        <w:t xml:space="preserve"> č.</w:t>
      </w:r>
      <w:r w:rsidRPr="00475828">
        <w:rPr>
          <w:lang w:val="cs-CZ"/>
        </w:rPr>
        <w:t xml:space="preserve"> 2011/C 11/01, </w:t>
      </w:r>
      <w:r w:rsidRPr="00475828">
        <w:rPr>
          <w:i/>
          <w:lang w:val="cs-CZ"/>
        </w:rPr>
        <w:t xml:space="preserve">Pokyny k použitelnosti článku 101 SFEU na dohody o horizontální spolupráci </w:t>
      </w:r>
      <w:r w:rsidRPr="00475828">
        <w:rPr>
          <w:lang w:val="cs-CZ"/>
        </w:rPr>
        <w:t xml:space="preserve">(dále jen „Pokyny Komise“), v nichž Komise stanovila zásady posuzování horizontálních dohod dle článku 101 SFEU. </w:t>
      </w:r>
    </w:p>
    <w:p w14:paraId="5B131DA7" w14:textId="62756781" w:rsidR="00CE68B5" w:rsidRPr="00475828" w:rsidRDefault="007879E3" w:rsidP="005916AF">
      <w:pPr>
        <w:ind w:firstLine="567"/>
        <w:rPr>
          <w:lang w:val="cs-CZ"/>
        </w:rPr>
      </w:pPr>
      <w:r w:rsidRPr="00475828">
        <w:rPr>
          <w:lang w:val="cs-CZ"/>
        </w:rPr>
        <w:t>K</w:t>
      </w:r>
      <w:r w:rsidR="009858BC">
        <w:rPr>
          <w:lang w:val="cs-CZ"/>
        </w:rPr>
        <w:t> </w:t>
      </w:r>
      <w:r w:rsidRPr="00475828">
        <w:rPr>
          <w:lang w:val="cs-CZ"/>
        </w:rPr>
        <w:t>posouzení</w:t>
      </w:r>
      <w:r w:rsidR="009858BC">
        <w:rPr>
          <w:lang w:val="cs-CZ"/>
        </w:rPr>
        <w:t>,</w:t>
      </w:r>
      <w:r w:rsidRPr="00475828">
        <w:rPr>
          <w:lang w:val="cs-CZ"/>
        </w:rPr>
        <w:t xml:space="preserve"> zda je dohoda o sdílení sítí mezi dvěma operátory v soutěžním vztahu v rozporu s článkem 101 SFEU</w:t>
      </w:r>
      <w:r w:rsidR="009858BC">
        <w:rPr>
          <w:lang w:val="cs-CZ"/>
        </w:rPr>
        <w:t>,</w:t>
      </w:r>
      <w:r w:rsidRPr="00475828">
        <w:rPr>
          <w:lang w:val="cs-CZ"/>
        </w:rPr>
        <w:t xml:space="preserve"> lze využít zejména 4. kapitolu Pokynů Komise, jež přibližuje zásady </w:t>
      </w:r>
      <w:r w:rsidR="00CE68B5" w:rsidRPr="00475828">
        <w:rPr>
          <w:lang w:val="cs-CZ"/>
        </w:rPr>
        <w:t>posuzování soutěžních dopadů</w:t>
      </w:r>
      <w:r w:rsidR="00AA0FD0" w:rsidRPr="00475828">
        <w:rPr>
          <w:lang w:val="cs-CZ"/>
        </w:rPr>
        <w:t xml:space="preserve"> výrobních</w:t>
      </w:r>
      <w:r w:rsidRPr="00475828">
        <w:rPr>
          <w:lang w:val="cs-CZ"/>
        </w:rPr>
        <w:t xml:space="preserve"> </w:t>
      </w:r>
      <w:r w:rsidR="00212F4A" w:rsidRPr="00475828">
        <w:rPr>
          <w:lang w:val="cs-CZ"/>
        </w:rPr>
        <w:t xml:space="preserve">horizontálních </w:t>
      </w:r>
      <w:r w:rsidRPr="00475828">
        <w:rPr>
          <w:lang w:val="cs-CZ"/>
        </w:rPr>
        <w:t xml:space="preserve">dohod. </w:t>
      </w:r>
      <w:r w:rsidR="00CE68B5" w:rsidRPr="00475828">
        <w:rPr>
          <w:lang w:val="cs-CZ"/>
        </w:rPr>
        <w:t xml:space="preserve">Níže </w:t>
      </w:r>
      <w:r w:rsidR="00212F4A" w:rsidRPr="00475828">
        <w:rPr>
          <w:lang w:val="cs-CZ"/>
        </w:rPr>
        <w:t>uvedené</w:t>
      </w:r>
      <w:r w:rsidR="00CE68B5" w:rsidRPr="00475828">
        <w:rPr>
          <w:lang w:val="cs-CZ"/>
        </w:rPr>
        <w:t xml:space="preserve"> zásady a</w:t>
      </w:r>
      <w:r w:rsidR="00247FC2">
        <w:rPr>
          <w:lang w:val="cs-CZ"/>
        </w:rPr>
        <w:t> </w:t>
      </w:r>
      <w:r w:rsidR="00CE68B5" w:rsidRPr="00475828">
        <w:rPr>
          <w:lang w:val="cs-CZ"/>
        </w:rPr>
        <w:t xml:space="preserve">kritéria </w:t>
      </w:r>
      <w:r w:rsidR="00487A39" w:rsidRPr="00475828">
        <w:rPr>
          <w:lang w:val="cs-CZ"/>
        </w:rPr>
        <w:t xml:space="preserve">posuzování </w:t>
      </w:r>
      <w:r w:rsidR="00CE68B5" w:rsidRPr="00475828">
        <w:rPr>
          <w:lang w:val="cs-CZ"/>
        </w:rPr>
        <w:t xml:space="preserve">nejsou </w:t>
      </w:r>
      <w:r w:rsidR="00487A39" w:rsidRPr="00475828">
        <w:rPr>
          <w:lang w:val="cs-CZ"/>
        </w:rPr>
        <w:t>vyčerpávající</w:t>
      </w:r>
      <w:r w:rsidR="00CE68B5" w:rsidRPr="00475828">
        <w:rPr>
          <w:lang w:val="cs-CZ"/>
        </w:rPr>
        <w:t>,</w:t>
      </w:r>
      <w:r w:rsidR="00F84927" w:rsidRPr="00475828">
        <w:rPr>
          <w:lang w:val="cs-CZ"/>
        </w:rPr>
        <w:t xml:space="preserve"> jedná se</w:t>
      </w:r>
      <w:r w:rsidR="00487A39" w:rsidRPr="00475828">
        <w:rPr>
          <w:lang w:val="cs-CZ"/>
        </w:rPr>
        <w:t xml:space="preserve"> však</w:t>
      </w:r>
      <w:r w:rsidR="00F84927" w:rsidRPr="00475828">
        <w:rPr>
          <w:lang w:val="cs-CZ"/>
        </w:rPr>
        <w:t xml:space="preserve"> o </w:t>
      </w:r>
      <w:r w:rsidR="00620F95" w:rsidRPr="00475828">
        <w:rPr>
          <w:lang w:val="cs-CZ"/>
        </w:rPr>
        <w:t>kritéria, která je dle našeho názoru třeba zhodnotit ve vztahu ke sdílení sítí. Z</w:t>
      </w:r>
      <w:r w:rsidR="00CE68B5" w:rsidRPr="00475828">
        <w:rPr>
          <w:lang w:val="cs-CZ"/>
        </w:rPr>
        <w:t xml:space="preserve">ároveň je </w:t>
      </w:r>
      <w:r w:rsidR="00212F4A" w:rsidRPr="00475828">
        <w:rPr>
          <w:lang w:val="cs-CZ"/>
        </w:rPr>
        <w:t>nutné</w:t>
      </w:r>
      <w:r w:rsidR="00CE68B5" w:rsidRPr="00475828">
        <w:rPr>
          <w:lang w:val="cs-CZ"/>
        </w:rPr>
        <w:t xml:space="preserve"> </w:t>
      </w:r>
      <w:r w:rsidR="00487A39" w:rsidRPr="00475828">
        <w:rPr>
          <w:lang w:val="cs-CZ"/>
        </w:rPr>
        <w:t>vždy přihlížet ke</w:t>
      </w:r>
      <w:r w:rsidR="00CE68B5" w:rsidRPr="00475828">
        <w:rPr>
          <w:lang w:val="cs-CZ"/>
        </w:rPr>
        <w:t xml:space="preserve"> konkrétní faktické a</w:t>
      </w:r>
      <w:r w:rsidR="00247FC2">
        <w:rPr>
          <w:lang w:val="cs-CZ"/>
        </w:rPr>
        <w:t> </w:t>
      </w:r>
      <w:r w:rsidR="00CE68B5" w:rsidRPr="00475828">
        <w:rPr>
          <w:lang w:val="cs-CZ"/>
        </w:rPr>
        <w:t xml:space="preserve">tržní situaci. </w:t>
      </w:r>
    </w:p>
    <w:p w14:paraId="076581CA" w14:textId="77777777" w:rsidR="00733D19" w:rsidRPr="00475828" w:rsidRDefault="00933698" w:rsidP="005916AF">
      <w:pPr>
        <w:ind w:firstLine="567"/>
        <w:rPr>
          <w:lang w:val="cs-CZ"/>
        </w:rPr>
      </w:pPr>
      <w:r w:rsidRPr="00475828">
        <w:rPr>
          <w:lang w:val="cs-CZ"/>
        </w:rPr>
        <w:t>H</w:t>
      </w:r>
      <w:r w:rsidR="00487A39" w:rsidRPr="00475828">
        <w:rPr>
          <w:lang w:val="cs-CZ"/>
        </w:rPr>
        <w:t>orizontální dohody</w:t>
      </w:r>
      <w:r w:rsidR="00CE68B5" w:rsidRPr="00475828">
        <w:rPr>
          <w:lang w:val="cs-CZ"/>
        </w:rPr>
        <w:t xml:space="preserve"> </w:t>
      </w:r>
      <w:r w:rsidRPr="00475828">
        <w:rPr>
          <w:lang w:val="cs-CZ"/>
        </w:rPr>
        <w:t xml:space="preserve">o výrobě </w:t>
      </w:r>
      <w:r w:rsidR="00CE68B5" w:rsidRPr="00475828">
        <w:rPr>
          <w:lang w:val="cs-CZ"/>
        </w:rPr>
        <w:t xml:space="preserve">mohou vést k omezení soutěže tím, že dojde ke sladění objemu a jakosti výroby, </w:t>
      </w:r>
      <w:r w:rsidR="0045401E" w:rsidRPr="00475828">
        <w:rPr>
          <w:lang w:val="cs-CZ"/>
        </w:rPr>
        <w:t>cen nebo jiných parametrů důležitých z hlediska hospodářské soutěže. V případě poskytování mobilních sítí lze za další parametry posuzovat rychlost připojení, rozsah pokrytí</w:t>
      </w:r>
      <w:r w:rsidR="00212F4A" w:rsidRPr="00475828">
        <w:rPr>
          <w:lang w:val="cs-CZ"/>
        </w:rPr>
        <w:t xml:space="preserve"> či</w:t>
      </w:r>
      <w:r w:rsidR="0045401E" w:rsidRPr="00475828">
        <w:rPr>
          <w:lang w:val="cs-CZ"/>
        </w:rPr>
        <w:t xml:space="preserve"> rozmanitost nabízených služeb.</w:t>
      </w:r>
    </w:p>
    <w:p w14:paraId="5C30C7FF" w14:textId="77777777" w:rsidR="007077A5" w:rsidRPr="00475828" w:rsidRDefault="00F84927" w:rsidP="005916AF">
      <w:pPr>
        <w:ind w:firstLine="567"/>
        <w:rPr>
          <w:lang w:val="cs-CZ"/>
        </w:rPr>
      </w:pPr>
      <w:r w:rsidRPr="00475828">
        <w:rPr>
          <w:lang w:val="cs-CZ"/>
        </w:rPr>
        <w:t>Další omezení</w:t>
      </w:r>
      <w:r w:rsidR="00733D19" w:rsidRPr="00475828">
        <w:rPr>
          <w:lang w:val="cs-CZ"/>
        </w:rPr>
        <w:t xml:space="preserve"> soutěže mohou</w:t>
      </w:r>
      <w:r w:rsidRPr="00475828">
        <w:rPr>
          <w:lang w:val="cs-CZ"/>
        </w:rPr>
        <w:t xml:space="preserve"> horizontální produkční</w:t>
      </w:r>
      <w:r w:rsidR="00733D19" w:rsidRPr="00475828">
        <w:rPr>
          <w:lang w:val="cs-CZ"/>
        </w:rPr>
        <w:t xml:space="preserve"> dohody</w:t>
      </w:r>
      <w:r w:rsidRPr="00475828">
        <w:rPr>
          <w:lang w:val="cs-CZ"/>
        </w:rPr>
        <w:t xml:space="preserve"> způsobit</w:t>
      </w:r>
      <w:r w:rsidR="00733D19" w:rsidRPr="00475828">
        <w:rPr>
          <w:lang w:val="cs-CZ"/>
        </w:rPr>
        <w:t xml:space="preserve"> tím, že</w:t>
      </w:r>
      <w:r w:rsidR="00272732">
        <w:rPr>
          <w:lang w:val="cs-CZ"/>
        </w:rPr>
        <w:t> </w:t>
      </w:r>
      <w:r w:rsidR="00733D19" w:rsidRPr="00475828">
        <w:rPr>
          <w:lang w:val="cs-CZ"/>
        </w:rPr>
        <w:t>v důsledku koordinace soutěžního chování mezi stranami dojde ke zvýšení cen či</w:t>
      </w:r>
      <w:r w:rsidR="00272732">
        <w:rPr>
          <w:lang w:val="cs-CZ"/>
        </w:rPr>
        <w:t> </w:t>
      </w:r>
      <w:r w:rsidR="00733D19" w:rsidRPr="00475828">
        <w:rPr>
          <w:lang w:val="cs-CZ"/>
        </w:rPr>
        <w:t>ke</w:t>
      </w:r>
      <w:r w:rsidR="00272732">
        <w:rPr>
          <w:lang w:val="cs-CZ"/>
        </w:rPr>
        <w:t> </w:t>
      </w:r>
      <w:r w:rsidR="00733D19" w:rsidRPr="00475828">
        <w:rPr>
          <w:lang w:val="cs-CZ"/>
        </w:rPr>
        <w:t>snížení jakosti</w:t>
      </w:r>
      <w:r w:rsidR="00212F4A" w:rsidRPr="00475828">
        <w:rPr>
          <w:lang w:val="cs-CZ"/>
        </w:rPr>
        <w:t xml:space="preserve"> či ke zpomalení inovací</w:t>
      </w:r>
      <w:r w:rsidRPr="00475828">
        <w:rPr>
          <w:lang w:val="cs-CZ"/>
        </w:rPr>
        <w:t>. K takovému omezení může dojít v případě, že</w:t>
      </w:r>
      <w:r w:rsidR="00272732">
        <w:rPr>
          <w:lang w:val="cs-CZ"/>
        </w:rPr>
        <w:t> </w:t>
      </w:r>
      <w:r w:rsidRPr="00475828">
        <w:rPr>
          <w:lang w:val="cs-CZ"/>
        </w:rPr>
        <w:t>strany mají</w:t>
      </w:r>
      <w:r w:rsidR="00487A39" w:rsidRPr="00475828">
        <w:rPr>
          <w:lang w:val="cs-CZ"/>
        </w:rPr>
        <w:t xml:space="preserve"> dostatečnou</w:t>
      </w:r>
      <w:r w:rsidRPr="00475828">
        <w:rPr>
          <w:lang w:val="cs-CZ"/>
        </w:rPr>
        <w:t xml:space="preserve"> tržní sílu a povaha trhu, na kterém k dohodě došlo</w:t>
      </w:r>
      <w:r w:rsidR="007077A5" w:rsidRPr="00475828">
        <w:rPr>
          <w:lang w:val="cs-CZ"/>
        </w:rPr>
        <w:t>,</w:t>
      </w:r>
      <w:r w:rsidRPr="00475828">
        <w:rPr>
          <w:lang w:val="cs-CZ"/>
        </w:rPr>
        <w:t xml:space="preserve"> </w:t>
      </w:r>
      <w:r w:rsidR="0046325E" w:rsidRPr="00475828">
        <w:rPr>
          <w:lang w:val="cs-CZ"/>
        </w:rPr>
        <w:t>přispívá k takové koordinaci</w:t>
      </w:r>
      <w:r w:rsidRPr="00475828">
        <w:rPr>
          <w:lang w:val="cs-CZ"/>
        </w:rPr>
        <w:t xml:space="preserve">. </w:t>
      </w:r>
    </w:p>
    <w:p w14:paraId="56756285" w14:textId="1E4C56E8" w:rsidR="00EC1291" w:rsidRPr="00475828" w:rsidRDefault="007077A5" w:rsidP="005916AF">
      <w:pPr>
        <w:ind w:firstLine="567"/>
        <w:rPr>
          <w:lang w:val="cs-CZ"/>
        </w:rPr>
      </w:pPr>
      <w:r w:rsidRPr="00475828">
        <w:rPr>
          <w:lang w:val="cs-CZ"/>
        </w:rPr>
        <w:t xml:space="preserve">Zda dohoda o výrobě vyvolá </w:t>
      </w:r>
      <w:r w:rsidR="009B7D55" w:rsidRPr="00475828">
        <w:rPr>
          <w:lang w:val="cs-CZ"/>
        </w:rPr>
        <w:t>omezující účinky na soutěž</w:t>
      </w:r>
      <w:r w:rsidR="00B84B8A" w:rsidRPr="00475828">
        <w:rPr>
          <w:lang w:val="cs-CZ"/>
        </w:rPr>
        <w:t>,</w:t>
      </w:r>
      <w:r w:rsidR="009B7D55" w:rsidRPr="00475828">
        <w:rPr>
          <w:lang w:val="cs-CZ"/>
        </w:rPr>
        <w:t xml:space="preserve"> závisí na </w:t>
      </w:r>
      <w:r w:rsidR="00B84B8A" w:rsidRPr="00475828">
        <w:rPr>
          <w:lang w:val="cs-CZ"/>
        </w:rPr>
        <w:t>situaci, která</w:t>
      </w:r>
      <w:r w:rsidR="00514200" w:rsidRPr="00475828">
        <w:rPr>
          <w:lang w:val="cs-CZ"/>
        </w:rPr>
        <w:t xml:space="preserve"> by panovala </w:t>
      </w:r>
      <w:r w:rsidR="009B7D55" w:rsidRPr="00475828">
        <w:rPr>
          <w:lang w:val="cs-CZ"/>
        </w:rPr>
        <w:t>v případě neexistence dohody o výrobě.</w:t>
      </w:r>
      <w:r w:rsidR="00514200" w:rsidRPr="00475828">
        <w:rPr>
          <w:rStyle w:val="Znakapoznpodarou"/>
          <w:lang w:val="cs-CZ"/>
        </w:rPr>
        <w:footnoteReference w:id="125"/>
      </w:r>
      <w:r w:rsidR="009B7D55" w:rsidRPr="00475828">
        <w:rPr>
          <w:lang w:val="cs-CZ"/>
        </w:rPr>
        <w:t xml:space="preserve"> Tuto zásadu připomněl také Soudní dvůr EU v</w:t>
      </w:r>
      <w:r w:rsidR="00247FC2">
        <w:rPr>
          <w:lang w:val="cs-CZ"/>
        </w:rPr>
        <w:t> </w:t>
      </w:r>
      <w:r w:rsidR="009B7D55" w:rsidRPr="00475828">
        <w:rPr>
          <w:lang w:val="cs-CZ"/>
        </w:rPr>
        <w:t>rozhodnutí z 2. 5. 2006</w:t>
      </w:r>
      <w:r w:rsidR="00487A39" w:rsidRPr="00475828">
        <w:rPr>
          <w:lang w:val="cs-CZ"/>
        </w:rPr>
        <w:t>,</w:t>
      </w:r>
      <w:r w:rsidR="009B7D55" w:rsidRPr="00475828">
        <w:rPr>
          <w:lang w:val="cs-CZ"/>
        </w:rPr>
        <w:t xml:space="preserve"> č.</w:t>
      </w:r>
      <w:r w:rsidR="004A4EBB">
        <w:rPr>
          <w:lang w:val="cs-CZ"/>
        </w:rPr>
        <w:t xml:space="preserve"> </w:t>
      </w:r>
      <w:r w:rsidR="009B7D55" w:rsidRPr="00475828">
        <w:rPr>
          <w:lang w:val="cs-CZ"/>
        </w:rPr>
        <w:t>j. T-328/03, kdy zrušil část rozhodnutí Komise 2004/207/ES ve</w:t>
      </w:r>
      <w:r w:rsidR="00272732">
        <w:rPr>
          <w:lang w:val="cs-CZ"/>
        </w:rPr>
        <w:t> </w:t>
      </w:r>
      <w:r w:rsidR="009B7D55" w:rsidRPr="00475828">
        <w:rPr>
          <w:lang w:val="cs-CZ"/>
        </w:rPr>
        <w:t xml:space="preserve">věci KOMP/38.369 – T-Mobile </w:t>
      </w:r>
      <w:proofErr w:type="spellStart"/>
      <w:r w:rsidR="009B7D55" w:rsidRPr="00475828">
        <w:rPr>
          <w:lang w:val="cs-CZ"/>
        </w:rPr>
        <w:t>Deutschland</w:t>
      </w:r>
      <w:proofErr w:type="spellEnd"/>
      <w:r w:rsidR="009B7D55" w:rsidRPr="00475828">
        <w:rPr>
          <w:lang w:val="cs-CZ"/>
        </w:rPr>
        <w:t xml:space="preserve"> a O2 </w:t>
      </w:r>
      <w:proofErr w:type="spellStart"/>
      <w:r w:rsidR="009B7D55" w:rsidRPr="00475828">
        <w:rPr>
          <w:lang w:val="cs-CZ"/>
        </w:rPr>
        <w:t>Germany</w:t>
      </w:r>
      <w:proofErr w:type="spellEnd"/>
      <w:r w:rsidR="009B7D55" w:rsidRPr="00475828">
        <w:rPr>
          <w:lang w:val="cs-CZ"/>
        </w:rPr>
        <w:t xml:space="preserve">, rámcová smlouva o sdílení sítí mj. proto, že rozhodnutí Komise v řízení dle čl. 81 </w:t>
      </w:r>
      <w:r w:rsidR="00487A39" w:rsidRPr="00475828">
        <w:rPr>
          <w:lang w:val="cs-CZ"/>
        </w:rPr>
        <w:t>S</w:t>
      </w:r>
      <w:r w:rsidR="009B7D55" w:rsidRPr="00475828">
        <w:rPr>
          <w:lang w:val="cs-CZ"/>
        </w:rPr>
        <w:t>ES (dnešní čl. 101 SFEU) neobsahovalo objektivní diskuzi o situaci hospodářské soutěže v případě neexistence dohody</w:t>
      </w:r>
      <w:r w:rsidR="009B7D55" w:rsidRPr="00475828">
        <w:rPr>
          <w:rStyle w:val="Znakapoznpodarou"/>
          <w:lang w:val="cs-CZ"/>
        </w:rPr>
        <w:footnoteReference w:id="126"/>
      </w:r>
      <w:r w:rsidR="009B7D55" w:rsidRPr="00475828">
        <w:rPr>
          <w:lang w:val="cs-CZ"/>
        </w:rPr>
        <w:t>. Lze tedy výslovně doporučit provedení této analýzy do budoucna nejen pro Komisi, ale i pro národní regulátory, od kterých si Komise může rozhodování o dopadu na hosp</w:t>
      </w:r>
      <w:r w:rsidR="00212F4A" w:rsidRPr="00475828">
        <w:rPr>
          <w:lang w:val="cs-CZ"/>
        </w:rPr>
        <w:t>odářskou</w:t>
      </w:r>
      <w:r w:rsidR="009B7D55" w:rsidRPr="00475828">
        <w:rPr>
          <w:lang w:val="cs-CZ"/>
        </w:rPr>
        <w:t xml:space="preserve"> soutěž </w:t>
      </w:r>
      <w:proofErr w:type="spellStart"/>
      <w:r w:rsidR="009B7D55" w:rsidRPr="00475828">
        <w:rPr>
          <w:lang w:val="cs-CZ"/>
        </w:rPr>
        <w:t>atrahovat</w:t>
      </w:r>
      <w:proofErr w:type="spellEnd"/>
      <w:r w:rsidR="00EC1291" w:rsidRPr="00475828">
        <w:rPr>
          <w:lang w:val="cs-CZ"/>
        </w:rPr>
        <w:t>.</w:t>
      </w:r>
      <w:r w:rsidR="00514200" w:rsidRPr="00475828">
        <w:rPr>
          <w:rStyle w:val="Znakapoznpodarou"/>
          <w:lang w:val="cs-CZ"/>
        </w:rPr>
        <w:footnoteReference w:id="127"/>
      </w:r>
    </w:p>
    <w:p w14:paraId="70515CD5" w14:textId="77777777" w:rsidR="00A2692C" w:rsidRPr="00475828" w:rsidRDefault="00EC1291" w:rsidP="005916AF">
      <w:pPr>
        <w:ind w:firstLine="567"/>
        <w:rPr>
          <w:lang w:val="cs-CZ"/>
        </w:rPr>
      </w:pPr>
      <w:r w:rsidRPr="00475828">
        <w:rPr>
          <w:lang w:val="cs-CZ"/>
        </w:rPr>
        <w:t>Dále může horizontální dohoda o výrobě vést k porušení hospodářské soutěže zvýšením tržní síly spolupracujících společností, shodností jejich nákladů nebo v případě, že</w:t>
      </w:r>
      <w:r w:rsidR="00272732">
        <w:rPr>
          <w:lang w:val="cs-CZ"/>
        </w:rPr>
        <w:t> </w:t>
      </w:r>
      <w:r w:rsidRPr="00475828">
        <w:rPr>
          <w:lang w:val="cs-CZ"/>
        </w:rPr>
        <w:t xml:space="preserve">obsahuje výměnu obchodně citlivých informací. Omezení dopadů na hospodářskou soutěž </w:t>
      </w:r>
      <w:r w:rsidR="006271F2" w:rsidRPr="00475828">
        <w:rPr>
          <w:lang w:val="cs-CZ"/>
        </w:rPr>
        <w:t xml:space="preserve">je však v tomto případě vždy podmíněno existencí tržní síly, která jediná umožňuje spolupracujícím stranám udržovat vyšší ceny, menší rozmanitost výrobků nebo </w:t>
      </w:r>
      <w:r w:rsidR="00A2692C" w:rsidRPr="00475828">
        <w:rPr>
          <w:lang w:val="cs-CZ"/>
        </w:rPr>
        <w:t>jakosti, než</w:t>
      </w:r>
      <w:r w:rsidR="00272732">
        <w:rPr>
          <w:lang w:val="cs-CZ"/>
        </w:rPr>
        <w:t> </w:t>
      </w:r>
      <w:r w:rsidR="00A2692C" w:rsidRPr="00475828">
        <w:rPr>
          <w:lang w:val="cs-CZ"/>
        </w:rPr>
        <w:t xml:space="preserve">jakou by vyžadovala konkurence. </w:t>
      </w:r>
    </w:p>
    <w:p w14:paraId="7C635362" w14:textId="77777777" w:rsidR="00366F47" w:rsidRPr="00475828" w:rsidRDefault="00A2692C" w:rsidP="005916AF">
      <w:pPr>
        <w:ind w:firstLine="567"/>
        <w:rPr>
          <w:lang w:val="cs-CZ"/>
        </w:rPr>
      </w:pPr>
      <w:r w:rsidRPr="00475828">
        <w:rPr>
          <w:lang w:val="cs-CZ"/>
        </w:rPr>
        <w:t xml:space="preserve">Při analýze tržní síly je výchozím bodem podíl stran na </w:t>
      </w:r>
      <w:r w:rsidR="00E54ED0" w:rsidRPr="00475828">
        <w:rPr>
          <w:lang w:val="cs-CZ"/>
        </w:rPr>
        <w:t xml:space="preserve">relevantním </w:t>
      </w:r>
      <w:r w:rsidRPr="00475828">
        <w:rPr>
          <w:lang w:val="cs-CZ"/>
        </w:rPr>
        <w:t>trhu. Po něm obvykle následuje poměr koncentrace a velikost trhu, jakož i další dynamické faktory, jako</w:t>
      </w:r>
      <w:r w:rsidR="00272732">
        <w:rPr>
          <w:lang w:val="cs-CZ"/>
        </w:rPr>
        <w:t> </w:t>
      </w:r>
      <w:r w:rsidRPr="00475828">
        <w:rPr>
          <w:lang w:val="cs-CZ"/>
        </w:rPr>
        <w:t>možný vstup a měnící se podíly na trhu.</w:t>
      </w:r>
      <w:r w:rsidR="009B7D55" w:rsidRPr="00475828">
        <w:rPr>
          <w:lang w:val="cs-CZ"/>
        </w:rPr>
        <w:t xml:space="preserve"> </w:t>
      </w:r>
      <w:r w:rsidRPr="00475828">
        <w:rPr>
          <w:lang w:val="cs-CZ"/>
        </w:rPr>
        <w:t>Při posouzení společné tržní síly je navíc důležité posouzení počtu a intenzity společných ostatních vztahů mezi stranami, např. existence jiné dohody o</w:t>
      </w:r>
      <w:r w:rsidR="00247FC2">
        <w:rPr>
          <w:lang w:val="cs-CZ"/>
        </w:rPr>
        <w:t> </w:t>
      </w:r>
      <w:r w:rsidRPr="00475828">
        <w:rPr>
          <w:lang w:val="cs-CZ"/>
        </w:rPr>
        <w:t xml:space="preserve">spolupráci. </w:t>
      </w:r>
    </w:p>
    <w:p w14:paraId="0982C81F" w14:textId="77777777" w:rsidR="00A2692C" w:rsidRPr="00475828" w:rsidRDefault="00A2692C" w:rsidP="005916AF">
      <w:pPr>
        <w:ind w:firstLine="567"/>
        <w:rPr>
          <w:lang w:val="cs-CZ"/>
        </w:rPr>
      </w:pPr>
      <w:r w:rsidRPr="00475828">
        <w:rPr>
          <w:lang w:val="cs-CZ"/>
        </w:rPr>
        <w:t xml:space="preserve">Při posouzení, zda strany jednají koluzivně, tj. zda se jedná o tajně dohodnutý výsledek, závisí jednak na tržní síle a jednak na vlastnostech relevantního trhu. Indikátory koluzivního jednání jsou shodnost nákladů, zejména variabilních, a výměna informací. </w:t>
      </w:r>
    </w:p>
    <w:p w14:paraId="794407ED" w14:textId="77777777" w:rsidR="001B5062" w:rsidRPr="00475828" w:rsidRDefault="00ED7AA1" w:rsidP="005916AF">
      <w:pPr>
        <w:pStyle w:val="Nadpis2"/>
        <w:keepNext w:val="0"/>
        <w:numPr>
          <w:ilvl w:val="1"/>
          <w:numId w:val="3"/>
        </w:numPr>
      </w:pPr>
      <w:bookmarkStart w:id="191" w:name="_Toc301423680"/>
      <w:r w:rsidRPr="00475828">
        <w:t>Dopad sdílení sítí na hospodářskou soutěž dle</w:t>
      </w:r>
      <w:r w:rsidR="00773633" w:rsidRPr="00475828">
        <w:t xml:space="preserve"> rozhodovací praxe </w:t>
      </w:r>
      <w:r w:rsidR="00B467F8" w:rsidRPr="00475828">
        <w:t xml:space="preserve">v členských státech </w:t>
      </w:r>
      <w:r w:rsidR="00773633" w:rsidRPr="00475828">
        <w:t>EU</w:t>
      </w:r>
      <w:bookmarkEnd w:id="191"/>
    </w:p>
    <w:p w14:paraId="41F117EB" w14:textId="150FD016" w:rsidR="00B467F8" w:rsidRPr="00475828" w:rsidRDefault="005E7ABF" w:rsidP="005916AF">
      <w:pPr>
        <w:ind w:firstLine="567"/>
        <w:rPr>
          <w:lang w:val="cs-CZ"/>
        </w:rPr>
      </w:pPr>
      <w:bookmarkStart w:id="192" w:name="_Toc412463644"/>
      <w:bookmarkStart w:id="193" w:name="_Toc412463788"/>
      <w:bookmarkStart w:id="194" w:name="_Toc412463868"/>
      <w:bookmarkStart w:id="195" w:name="_Toc412472058"/>
      <w:bookmarkEnd w:id="192"/>
      <w:bookmarkEnd w:id="193"/>
      <w:bookmarkEnd w:id="194"/>
      <w:bookmarkEnd w:id="195"/>
      <w:r w:rsidRPr="00475828">
        <w:rPr>
          <w:lang w:val="cs-CZ"/>
        </w:rPr>
        <w:t>Rozhodovací praxe regulátorů jednotlivých členských států Evropské unie formulovala celou řadu kritérií</w:t>
      </w:r>
      <w:r w:rsidR="00832C6A" w:rsidRPr="00475828">
        <w:rPr>
          <w:lang w:val="cs-CZ"/>
        </w:rPr>
        <w:t xml:space="preserve"> a podmínek, </w:t>
      </w:r>
      <w:r w:rsidR="00272732" w:rsidRPr="00475828">
        <w:rPr>
          <w:lang w:val="cs-CZ"/>
        </w:rPr>
        <w:t>kter</w:t>
      </w:r>
      <w:r w:rsidR="00272732">
        <w:rPr>
          <w:lang w:val="cs-CZ"/>
        </w:rPr>
        <w:t>é</w:t>
      </w:r>
      <w:r w:rsidR="00272732" w:rsidRPr="00475828">
        <w:rPr>
          <w:lang w:val="cs-CZ"/>
        </w:rPr>
        <w:t xml:space="preserve"> </w:t>
      </w:r>
      <w:r w:rsidR="00832C6A" w:rsidRPr="00475828">
        <w:rPr>
          <w:lang w:val="cs-CZ"/>
        </w:rPr>
        <w:t xml:space="preserve">je při hodnocení </w:t>
      </w:r>
      <w:proofErr w:type="spellStart"/>
      <w:r w:rsidR="00832C6A" w:rsidRPr="00475828">
        <w:rPr>
          <w:lang w:val="cs-CZ"/>
        </w:rPr>
        <w:t>soutěžněprávních</w:t>
      </w:r>
      <w:proofErr w:type="spellEnd"/>
      <w:r w:rsidR="00832C6A" w:rsidRPr="00475828">
        <w:rPr>
          <w:lang w:val="cs-CZ"/>
        </w:rPr>
        <w:t xml:space="preserve"> dopadů sdílení sítí nutné brát v potaz. Velmi přehledně byla tato kritéria v roce 2013 formulována francouzsk</w:t>
      </w:r>
      <w:r w:rsidR="00847AF5" w:rsidRPr="00475828">
        <w:rPr>
          <w:lang w:val="cs-CZ"/>
        </w:rPr>
        <w:t>ým</w:t>
      </w:r>
      <w:r w:rsidR="00832C6A" w:rsidRPr="00475828">
        <w:rPr>
          <w:lang w:val="cs-CZ"/>
        </w:rPr>
        <w:t xml:space="preserve"> AC</w:t>
      </w:r>
      <w:r w:rsidR="004A4EBB">
        <w:rPr>
          <w:lang w:val="cs-CZ"/>
        </w:rPr>
        <w:t xml:space="preserve"> s tím</w:t>
      </w:r>
      <w:r w:rsidR="00832C6A" w:rsidRPr="00475828">
        <w:rPr>
          <w:lang w:val="cs-CZ"/>
        </w:rPr>
        <w:t xml:space="preserve">, </w:t>
      </w:r>
      <w:r w:rsidR="004A4EBB">
        <w:rPr>
          <w:lang w:val="cs-CZ"/>
        </w:rPr>
        <w:t>že</w:t>
      </w:r>
      <w:r w:rsidR="004A4EBB" w:rsidRPr="00475828">
        <w:rPr>
          <w:lang w:val="cs-CZ"/>
        </w:rPr>
        <w:t xml:space="preserve"> </w:t>
      </w:r>
      <w:r w:rsidR="00832C6A" w:rsidRPr="00475828">
        <w:rPr>
          <w:lang w:val="cs-CZ"/>
        </w:rPr>
        <w:t>shrnula i dosavadní evropskou judikaturu a pokyny příslušných orgánů EU.</w:t>
      </w:r>
      <w:r w:rsidRPr="00475828">
        <w:rPr>
          <w:vertAlign w:val="superscript"/>
          <w:lang w:val="cs-CZ"/>
        </w:rPr>
        <w:footnoteReference w:id="128"/>
      </w:r>
      <w:r w:rsidR="00832C6A" w:rsidRPr="00475828">
        <w:rPr>
          <w:lang w:val="cs-CZ"/>
        </w:rPr>
        <w:t xml:space="preserve"> </w:t>
      </w:r>
      <w:r w:rsidR="00B467F8" w:rsidRPr="00475828">
        <w:rPr>
          <w:lang w:val="cs-CZ"/>
        </w:rPr>
        <w:t>Pro</w:t>
      </w:r>
      <w:r w:rsidR="00272732">
        <w:rPr>
          <w:lang w:val="cs-CZ"/>
        </w:rPr>
        <w:t> </w:t>
      </w:r>
      <w:r w:rsidR="00B467F8" w:rsidRPr="00475828">
        <w:rPr>
          <w:lang w:val="cs-CZ"/>
        </w:rPr>
        <w:t xml:space="preserve">posouzení možných dopadů sdílení sítí na hospodářskou soutěž je </w:t>
      </w:r>
      <w:r w:rsidR="00832C6A" w:rsidRPr="00475828">
        <w:rPr>
          <w:lang w:val="cs-CZ"/>
        </w:rPr>
        <w:t xml:space="preserve">v souladu s uvedeným stanoviskem AC </w:t>
      </w:r>
      <w:r w:rsidR="00B467F8" w:rsidRPr="00475828">
        <w:rPr>
          <w:lang w:val="cs-CZ"/>
        </w:rPr>
        <w:t>potřeba zhodnotit jednotlivé okolnosti konkrétního trhu a konkrétního druhu sdílení, mezi které patří mj.</w:t>
      </w:r>
      <w:r w:rsidR="00832C6A" w:rsidRPr="00475828">
        <w:rPr>
          <w:lang w:val="cs-CZ"/>
        </w:rPr>
        <w:t xml:space="preserve"> míra kooperace mezi sdílejícími subjekty a míra unifikace, ke</w:t>
      </w:r>
      <w:r w:rsidR="00272732">
        <w:rPr>
          <w:lang w:val="cs-CZ"/>
        </w:rPr>
        <w:t> </w:t>
      </w:r>
      <w:r w:rsidR="00832C6A" w:rsidRPr="00475828">
        <w:rPr>
          <w:lang w:val="cs-CZ"/>
        </w:rPr>
        <w:t>které</w:t>
      </w:r>
      <w:r w:rsidR="00272732">
        <w:rPr>
          <w:lang w:val="cs-CZ"/>
        </w:rPr>
        <w:t> </w:t>
      </w:r>
      <w:r w:rsidR="00832C6A" w:rsidRPr="00475828">
        <w:rPr>
          <w:lang w:val="cs-CZ"/>
        </w:rPr>
        <w:t>sdílení vede. V neposlední řadě pak AC zmiňuje také nutnost analyzovat společnou tr</w:t>
      </w:r>
      <w:r w:rsidR="00A75E85">
        <w:rPr>
          <w:lang w:val="cs-CZ"/>
        </w:rPr>
        <w:t>ž</w:t>
      </w:r>
      <w:r w:rsidR="00832C6A" w:rsidRPr="00475828">
        <w:rPr>
          <w:lang w:val="cs-CZ"/>
        </w:rPr>
        <w:t>ní sílu nabytou sdílejícími subjekty, která může záviset zejména na velikosti těchto subjektů, jejich tržní síle a způsobu, jakým se navzájem doplňují (komplementarita) a také na tom, jak</w:t>
      </w:r>
      <w:r w:rsidR="00272732">
        <w:rPr>
          <w:lang w:val="cs-CZ"/>
        </w:rPr>
        <w:t> </w:t>
      </w:r>
      <w:r w:rsidR="00832C6A" w:rsidRPr="00475828">
        <w:rPr>
          <w:lang w:val="cs-CZ"/>
        </w:rPr>
        <w:t>mohou jiní soutěžitelé jednotlivě či kolektivně reagovat na skutečnost, že na trhu dochází ke sdílení sítí.</w:t>
      </w:r>
    </w:p>
    <w:p w14:paraId="592F5FEC" w14:textId="77777777" w:rsidR="005C11B6" w:rsidRPr="00475828" w:rsidRDefault="005C11B6" w:rsidP="005916AF">
      <w:pPr>
        <w:ind w:firstLine="567"/>
        <w:rPr>
          <w:lang w:val="cs-CZ"/>
        </w:rPr>
      </w:pPr>
      <w:r w:rsidRPr="00475828">
        <w:rPr>
          <w:lang w:val="cs-CZ"/>
        </w:rPr>
        <w:t>AC obecně konstatoval, že RAN sdílení se nachází uprostřed škály rizikovosti z pohledu soutěžního práva (přičemž za nejméně rizikové bude zpravidla považováno sdílení pasivních prvků infrastruktury a za nejvíce rizikové pak sdílení frekvencí, které omezuje autonomii sdílejících operátorů a jejich možnost diferencovat své služby co do kvality služeb a pokrytí). Míra rizika může být posílena případným sdílením informací, které je dle názoru AC citlivější v hustě osídlených oblastech, kde je nutné sdílet velké množství detailních informací pro</w:t>
      </w:r>
      <w:r w:rsidR="00272732">
        <w:rPr>
          <w:lang w:val="cs-CZ"/>
        </w:rPr>
        <w:t> </w:t>
      </w:r>
      <w:r w:rsidRPr="00475828">
        <w:rPr>
          <w:lang w:val="cs-CZ"/>
        </w:rPr>
        <w:t>kvalitní fungování sdílené sítě. Naopak v méně hustě osídlených oblastech bude dle</w:t>
      </w:r>
      <w:r w:rsidR="00272732">
        <w:rPr>
          <w:lang w:val="cs-CZ"/>
        </w:rPr>
        <w:t> </w:t>
      </w:r>
      <w:r w:rsidRPr="00475828">
        <w:rPr>
          <w:lang w:val="cs-CZ"/>
        </w:rPr>
        <w:t>názoru AC výměna informací méně intenzivní a pravděpodobně i méně riziková.</w:t>
      </w:r>
    </w:p>
    <w:p w14:paraId="097FBA81" w14:textId="77777777" w:rsidR="005C11B6" w:rsidRPr="00475828" w:rsidRDefault="005C11B6" w:rsidP="005916AF">
      <w:pPr>
        <w:ind w:firstLine="567"/>
        <w:rPr>
          <w:lang w:val="cs-CZ"/>
        </w:rPr>
      </w:pPr>
      <w:r w:rsidRPr="00475828">
        <w:rPr>
          <w:lang w:val="cs-CZ"/>
        </w:rPr>
        <w:t>S ohledem na výše uvedené lze uzavřít, že dle názoru AC je sdílení sít</w:t>
      </w:r>
      <w:r w:rsidR="008C6EDB" w:rsidRPr="00475828">
        <w:rPr>
          <w:lang w:val="cs-CZ"/>
        </w:rPr>
        <w:t>í méně r</w:t>
      </w:r>
      <w:r w:rsidRPr="00475828">
        <w:rPr>
          <w:lang w:val="cs-CZ"/>
        </w:rPr>
        <w:t>izikové v řídce osídlených oblastech</w:t>
      </w:r>
      <w:r w:rsidR="008C6EDB" w:rsidRPr="00475828">
        <w:rPr>
          <w:lang w:val="cs-CZ"/>
        </w:rPr>
        <w:t xml:space="preserve"> – zároveň ale AC upozorňuje, že v hustě osídlených oblastech povede sdílení sítí k menším úsporám než v řídce osídlených oblastech, a proto je nutné sdílení sítí se všemi konkrétními dopady posuzovat v každém specifickém případě sdílení.</w:t>
      </w:r>
    </w:p>
    <w:p w14:paraId="04228B35" w14:textId="77777777" w:rsidR="00FA737B" w:rsidRPr="00475828" w:rsidRDefault="008C6EDB" w:rsidP="005916AF">
      <w:pPr>
        <w:ind w:firstLine="567"/>
        <w:rPr>
          <w:rFonts w:cs="Arial"/>
          <w:lang w:val="cs-CZ"/>
        </w:rPr>
      </w:pPr>
      <w:r w:rsidRPr="00475828">
        <w:rPr>
          <w:lang w:val="cs-CZ"/>
        </w:rPr>
        <w:t xml:space="preserve">Uvedená kritéria bere v potaz také kapitola </w:t>
      </w:r>
      <w:r w:rsidR="00986A02" w:rsidRPr="00475828">
        <w:rPr>
          <w:lang w:val="cs-CZ"/>
        </w:rPr>
        <w:t>6</w:t>
      </w:r>
      <w:r w:rsidR="004D78FE" w:rsidRPr="00475828">
        <w:rPr>
          <w:lang w:val="cs-CZ"/>
        </w:rPr>
        <w:t xml:space="preserve">, která analyzuje mimo jiné některé z aspektů popsaných výše. </w:t>
      </w:r>
    </w:p>
    <w:p w14:paraId="3C432767" w14:textId="77777777" w:rsidR="00FF5B55" w:rsidRPr="00475828" w:rsidRDefault="00FF5B55" w:rsidP="00C95099">
      <w:pPr>
        <w:pStyle w:val="Nadpis1"/>
        <w:numPr>
          <w:ilvl w:val="0"/>
          <w:numId w:val="3"/>
        </w:numPr>
        <w:spacing w:before="360"/>
        <w:ind w:left="357" w:hanging="357"/>
        <w:rPr>
          <w:lang w:val="cs-CZ"/>
        </w:rPr>
      </w:pPr>
      <w:bookmarkStart w:id="196" w:name="_Ref413160514"/>
      <w:bookmarkStart w:id="197" w:name="_Toc301423681"/>
      <w:r w:rsidRPr="00475828">
        <w:rPr>
          <w:lang w:val="cs-CZ"/>
        </w:rPr>
        <w:t>Dopad sdílení sítí na hospodářskou soutěž v České republice dle jednotlivých rizikových oblastí identifikovaných v rozhodovací praxi EU</w:t>
      </w:r>
      <w:bookmarkEnd w:id="196"/>
      <w:bookmarkEnd w:id="197"/>
    </w:p>
    <w:p w14:paraId="774B6844" w14:textId="77777777" w:rsidR="00773633" w:rsidRPr="00475828" w:rsidRDefault="00773633" w:rsidP="00C95099">
      <w:pPr>
        <w:pStyle w:val="Nadpis2"/>
        <w:numPr>
          <w:ilvl w:val="1"/>
          <w:numId w:val="3"/>
        </w:numPr>
        <w:ind w:left="357" w:hanging="357"/>
      </w:pPr>
      <w:bookmarkStart w:id="198" w:name="_Toc301423682"/>
      <w:r w:rsidRPr="00475828">
        <w:t>Omezení soutěže v oblasti výstavby a údržby sítí</w:t>
      </w:r>
      <w:bookmarkEnd w:id="198"/>
    </w:p>
    <w:p w14:paraId="22EBEE58" w14:textId="77777777" w:rsidR="00773633" w:rsidRPr="00475828" w:rsidRDefault="00773633" w:rsidP="005916AF">
      <w:pPr>
        <w:pStyle w:val="Nadpis2"/>
        <w:keepNext w:val="0"/>
        <w:numPr>
          <w:ilvl w:val="2"/>
          <w:numId w:val="3"/>
        </w:numPr>
        <w:rPr>
          <w:b w:val="0"/>
          <w:i/>
        </w:rPr>
      </w:pPr>
      <w:bookmarkStart w:id="199" w:name="_Toc301423683"/>
      <w:r w:rsidRPr="00475828">
        <w:rPr>
          <w:b w:val="0"/>
          <w:i/>
        </w:rPr>
        <w:t>Rozhodovací praxe v</w:t>
      </w:r>
      <w:r w:rsidR="006B49B3" w:rsidRPr="00475828">
        <w:rPr>
          <w:b w:val="0"/>
          <w:i/>
        </w:rPr>
        <w:t> </w:t>
      </w:r>
      <w:r w:rsidRPr="00475828">
        <w:rPr>
          <w:b w:val="0"/>
          <w:i/>
        </w:rPr>
        <w:t>EU</w:t>
      </w:r>
      <w:bookmarkEnd w:id="199"/>
    </w:p>
    <w:p w14:paraId="50236056" w14:textId="592F2FAC" w:rsidR="006B49B3" w:rsidRPr="00475828" w:rsidRDefault="006B49B3" w:rsidP="005916AF">
      <w:pPr>
        <w:ind w:firstLine="567"/>
        <w:rPr>
          <w:lang w:val="cs-CZ"/>
        </w:rPr>
      </w:pPr>
      <w:r w:rsidRPr="00475828">
        <w:rPr>
          <w:lang w:val="cs-CZ"/>
        </w:rPr>
        <w:t>Při sdílení sítí mezi operátory, kteří již vlastní sítí disponují, dochází k tomu, že jejich sítě se na vymezeném teritoriu stávají de facto identickými</w:t>
      </w:r>
      <w:r w:rsidR="004A4EBB">
        <w:rPr>
          <w:lang w:val="cs-CZ"/>
        </w:rPr>
        <w:t>,</w:t>
      </w:r>
      <w:r w:rsidRPr="00475828">
        <w:rPr>
          <w:lang w:val="cs-CZ"/>
        </w:rPr>
        <w:t xml:space="preserve"> a tudíž dochází k omezení soutěže ohledně síťových infrastruktur.</w:t>
      </w:r>
    </w:p>
    <w:p w14:paraId="7833B02F" w14:textId="77777777" w:rsidR="006B49B3" w:rsidRPr="00475828" w:rsidRDefault="006B49B3" w:rsidP="005916AF">
      <w:pPr>
        <w:ind w:firstLine="567"/>
        <w:rPr>
          <w:lang w:val="cs-CZ"/>
        </w:rPr>
      </w:pPr>
      <w:r w:rsidRPr="00475828">
        <w:rPr>
          <w:lang w:val="cs-CZ"/>
        </w:rPr>
        <w:t>Omezení soutěže v oblasti výstavby, resp. údržby se může projevit např.</w:t>
      </w:r>
      <w:r w:rsidR="00CE7232">
        <w:rPr>
          <w:lang w:val="cs-CZ"/>
        </w:rPr>
        <w:t> </w:t>
      </w:r>
      <w:r w:rsidRPr="00475828">
        <w:rPr>
          <w:lang w:val="cs-CZ"/>
        </w:rPr>
        <w:t>v nedostatečném rozvoji sítě či snížení úrovně pokrytí v některých oblastech. To může následně vést i k omezení soutěže v oblasti úrovně poskytovaných služeb.</w:t>
      </w:r>
      <w:r w:rsidRPr="00475828">
        <w:rPr>
          <w:vertAlign w:val="superscript"/>
          <w:lang w:val="cs-CZ"/>
        </w:rPr>
        <w:footnoteReference w:id="129"/>
      </w:r>
      <w:r w:rsidRPr="00475828">
        <w:rPr>
          <w:lang w:val="cs-CZ"/>
        </w:rPr>
        <w:t xml:space="preserve"> K obdobnému názoru dospěl ve svém stanovisku již v roce 2011 i britský regulátor </w:t>
      </w:r>
      <w:r w:rsidR="00272732">
        <w:rPr>
          <w:lang w:val="cs-CZ"/>
        </w:rPr>
        <w:t>OFCOM</w:t>
      </w:r>
      <w:r w:rsidRPr="00475828">
        <w:rPr>
          <w:lang w:val="cs-CZ"/>
        </w:rPr>
        <w:t>.</w:t>
      </w:r>
      <w:r w:rsidRPr="00475828">
        <w:rPr>
          <w:vertAlign w:val="superscript"/>
          <w:lang w:val="cs-CZ"/>
        </w:rPr>
        <w:footnoteReference w:id="130"/>
      </w:r>
    </w:p>
    <w:p w14:paraId="71FAFF52" w14:textId="77777777" w:rsidR="006B49B3" w:rsidRPr="00475828" w:rsidRDefault="006B49B3" w:rsidP="005916AF">
      <w:pPr>
        <w:ind w:firstLine="567"/>
        <w:rPr>
          <w:lang w:val="cs-CZ"/>
        </w:rPr>
      </w:pPr>
      <w:r w:rsidRPr="00475828">
        <w:rPr>
          <w:lang w:val="cs-CZ"/>
        </w:rPr>
        <w:t>Uvedené riziko bylo zdůrazněno i v dánském případě sdílení sítí</w:t>
      </w:r>
      <w:r w:rsidR="00B16019">
        <w:rPr>
          <w:lang w:val="cs-CZ"/>
        </w:rPr>
        <w:t xml:space="preserve"> </w:t>
      </w:r>
      <w:r w:rsidRPr="00475828">
        <w:rPr>
          <w:lang w:val="cs-CZ"/>
        </w:rPr>
        <w:t xml:space="preserve">RAN (a sdílení frekvenčního spektra) společnostmi </w:t>
      </w:r>
      <w:proofErr w:type="spellStart"/>
      <w:r w:rsidRPr="00475828">
        <w:rPr>
          <w:lang w:val="cs-CZ"/>
        </w:rPr>
        <w:t>TeliaSonera</w:t>
      </w:r>
      <w:proofErr w:type="spellEnd"/>
      <w:r w:rsidRPr="00475828">
        <w:rPr>
          <w:lang w:val="cs-CZ"/>
        </w:rPr>
        <w:t xml:space="preserve"> a </w:t>
      </w:r>
      <w:proofErr w:type="spellStart"/>
      <w:r w:rsidRPr="00475828">
        <w:rPr>
          <w:lang w:val="cs-CZ"/>
        </w:rPr>
        <w:t>Telenor</w:t>
      </w:r>
      <w:proofErr w:type="spellEnd"/>
      <w:r w:rsidRPr="00475828">
        <w:rPr>
          <w:lang w:val="cs-CZ"/>
        </w:rPr>
        <w:t xml:space="preserve"> prostřednictvím joint-venture subjektu vytvořeného pro tento účel.</w:t>
      </w:r>
      <w:r w:rsidRPr="00475828">
        <w:rPr>
          <w:vertAlign w:val="superscript"/>
          <w:lang w:val="cs-CZ"/>
        </w:rPr>
        <w:footnoteReference w:id="131"/>
      </w:r>
      <w:r w:rsidRPr="00475828">
        <w:rPr>
          <w:lang w:val="cs-CZ"/>
        </w:rPr>
        <w:t xml:space="preserve"> Dánský regulátor nicméně uzavřel, že daný případ sdílení sítí vyhovuje podmínkám pro udělení výjimky podle čl. 101 (3) SFEU a odpovídajícímu ustanovení dánského zákona o ochraně hospodářské soutěže, a proto v dané věci neučinil žádné další kroky.</w:t>
      </w:r>
    </w:p>
    <w:p w14:paraId="4521DD8E" w14:textId="77777777" w:rsidR="00773633" w:rsidRPr="00475828" w:rsidRDefault="00773633" w:rsidP="005916AF">
      <w:pPr>
        <w:pStyle w:val="Nadpis2"/>
        <w:keepNext w:val="0"/>
        <w:numPr>
          <w:ilvl w:val="2"/>
          <w:numId w:val="3"/>
        </w:numPr>
        <w:rPr>
          <w:b w:val="0"/>
          <w:i/>
        </w:rPr>
      </w:pPr>
      <w:bookmarkStart w:id="200" w:name="_Toc301423684"/>
      <w:r w:rsidRPr="00475828">
        <w:rPr>
          <w:b w:val="0"/>
          <w:i/>
        </w:rPr>
        <w:t xml:space="preserve">Podmínky sdílení </w:t>
      </w:r>
      <w:r w:rsidR="001F3246" w:rsidRPr="00475828">
        <w:rPr>
          <w:b w:val="0"/>
          <w:i/>
        </w:rPr>
        <w:t xml:space="preserve">sítí </w:t>
      </w:r>
      <w:r w:rsidRPr="00475828">
        <w:rPr>
          <w:b w:val="0"/>
          <w:i/>
        </w:rPr>
        <w:t>2G a 3G v České republice</w:t>
      </w:r>
      <w:bookmarkEnd w:id="200"/>
    </w:p>
    <w:p w14:paraId="3F3D78A9" w14:textId="2D44B823" w:rsidR="00EE4B96" w:rsidRPr="00ED73DE" w:rsidRDefault="006B49B3" w:rsidP="005916AF">
      <w:pPr>
        <w:ind w:firstLine="567"/>
        <w:rPr>
          <w:lang w:val="cs-CZ"/>
        </w:rPr>
      </w:pPr>
      <w:r w:rsidRPr="00ED73DE">
        <w:rPr>
          <w:lang w:val="cs-CZ"/>
        </w:rPr>
        <w:t xml:space="preserve">Smlouva o sdílení sítí </w:t>
      </w:r>
      <w:r w:rsidR="00C66EA5" w:rsidRPr="00ED73DE">
        <w:rPr>
          <w:lang w:val="cs-CZ"/>
        </w:rPr>
        <w:t xml:space="preserve">2G/3G </w:t>
      </w:r>
      <w:r w:rsidRPr="00ED73DE">
        <w:rPr>
          <w:lang w:val="cs-CZ"/>
        </w:rPr>
        <w:t xml:space="preserve">se riziky </w:t>
      </w:r>
      <w:r w:rsidR="00F53D4F" w:rsidRPr="00ED73DE">
        <w:rPr>
          <w:lang w:val="cs-CZ"/>
        </w:rPr>
        <w:t xml:space="preserve">popsanými v kapitole </w:t>
      </w:r>
      <w:r w:rsidR="00986A02" w:rsidRPr="00ED73DE">
        <w:rPr>
          <w:lang w:val="cs-CZ"/>
        </w:rPr>
        <w:t>6</w:t>
      </w:r>
      <w:r w:rsidR="00F53D4F" w:rsidRPr="00ED73DE">
        <w:rPr>
          <w:lang w:val="cs-CZ"/>
        </w:rPr>
        <w:t xml:space="preserve">.1.1 tohoto </w:t>
      </w:r>
      <w:r w:rsidR="00E078F6" w:rsidRPr="00ED73DE">
        <w:rPr>
          <w:lang w:val="cs-CZ"/>
        </w:rPr>
        <w:t xml:space="preserve">Stanoviska </w:t>
      </w:r>
      <w:r w:rsidRPr="00ED73DE">
        <w:rPr>
          <w:lang w:val="cs-CZ"/>
        </w:rPr>
        <w:t>částečně zabývá</w:t>
      </w:r>
      <w:r w:rsidR="00731C93" w:rsidRPr="00ED73DE">
        <w:rPr>
          <w:lang w:val="cs-CZ"/>
        </w:rPr>
        <w:t>,</w:t>
      </w:r>
      <w:r w:rsidR="008174E7">
        <w:rPr>
          <w:lang w:val="cs-CZ"/>
        </w:rPr>
        <w:t xml:space="preserve"> </w:t>
      </w:r>
      <w:r w:rsidR="00731C93" w:rsidRPr="00ED73DE">
        <w:rPr>
          <w:lang w:val="cs-CZ"/>
        </w:rPr>
        <w:t>když stanoví, že se</w:t>
      </w:r>
      <w:r w:rsidRPr="00ED73DE">
        <w:rPr>
          <w:lang w:val="cs-CZ"/>
        </w:rPr>
        <w:t xml:space="preserve"> smluvní strany zavazují společně investovat do efektivnějšího mobilního pokrytí v ČR, maximalizovat výhody pro koncové zákazníky a využít úspor ze sdílení sítí k investicím do mobilních sítí a služeb zákazníkům. </w:t>
      </w:r>
    </w:p>
    <w:p w14:paraId="35352CAF" w14:textId="6FE2949E" w:rsidR="006B49B3" w:rsidRPr="00475828" w:rsidRDefault="00EE4B96" w:rsidP="00D73AE2">
      <w:pPr>
        <w:ind w:firstLine="567"/>
        <w:rPr>
          <w:lang w:val="cs-CZ"/>
        </w:rPr>
      </w:pPr>
      <w:r w:rsidRPr="00ED73DE">
        <w:rPr>
          <w:lang w:val="cs-CZ"/>
        </w:rPr>
        <w:t xml:space="preserve">Relevantní je zejména závazek využít úspor ze sdílení sítí k investicím do mobilních sítí. </w:t>
      </w:r>
      <w:r w:rsidR="00F34E9B">
        <w:rPr>
          <w:rFonts w:cs="Arial"/>
          <w:highlight w:val="yellow"/>
          <w:lang w:val="cs-CZ"/>
        </w:rPr>
        <w:t>[</w:t>
      </w:r>
      <w:r w:rsidR="00F34E9B" w:rsidRPr="00431AA8">
        <w:rPr>
          <w:rFonts w:cs="Arial"/>
          <w:i/>
          <w:highlight w:val="yellow"/>
          <w:lang w:val="cs-CZ"/>
        </w:rPr>
        <w:t>Obchodní tajemství</w:t>
      </w:r>
      <w:r w:rsidR="00F34E9B">
        <w:rPr>
          <w:rFonts w:cs="Arial"/>
          <w:highlight w:val="yellow"/>
          <w:lang w:val="cs-CZ"/>
        </w:rPr>
        <w:t xml:space="preserve">] </w:t>
      </w:r>
    </w:p>
    <w:p w14:paraId="1EC9E4CC" w14:textId="77777777" w:rsidR="00FF5B55" w:rsidRPr="00475828" w:rsidRDefault="00FF5B55" w:rsidP="005916AF">
      <w:pPr>
        <w:pStyle w:val="Nadpis2"/>
        <w:keepNext w:val="0"/>
        <w:numPr>
          <w:ilvl w:val="2"/>
          <w:numId w:val="3"/>
        </w:numPr>
        <w:rPr>
          <w:b w:val="0"/>
          <w:i/>
        </w:rPr>
      </w:pPr>
      <w:bookmarkStart w:id="201" w:name="_Toc301423685"/>
      <w:r w:rsidRPr="00475828">
        <w:rPr>
          <w:b w:val="0"/>
          <w:i/>
        </w:rPr>
        <w:t>Podmínky sdílení 4G sítí v České republice</w:t>
      </w:r>
      <w:bookmarkEnd w:id="201"/>
    </w:p>
    <w:p w14:paraId="5EF3E2BC" w14:textId="626C7319" w:rsidR="00A863C0" w:rsidRPr="00ED7D95" w:rsidRDefault="00731C93" w:rsidP="00D73AE2">
      <w:pPr>
        <w:ind w:firstLine="567"/>
        <w:rPr>
          <w:rFonts w:cs="Arial"/>
          <w:szCs w:val="20"/>
          <w:lang w:val="cs-CZ"/>
        </w:rPr>
      </w:pPr>
      <w:r w:rsidRPr="00ED7D95">
        <w:rPr>
          <w:rFonts w:cs="Arial"/>
          <w:szCs w:val="20"/>
          <w:lang w:val="cs-CZ"/>
        </w:rPr>
        <w:t xml:space="preserve">Smlouva </w:t>
      </w:r>
      <w:r w:rsidR="00903D79" w:rsidRPr="00ED7D95">
        <w:rPr>
          <w:rFonts w:cs="Arial"/>
          <w:szCs w:val="20"/>
          <w:lang w:val="cs-CZ"/>
        </w:rPr>
        <w:t xml:space="preserve">o sdílení sítí 4G obsahuje prohlášení, že strany uzavírají tuto </w:t>
      </w:r>
      <w:r w:rsidR="00C66EA5" w:rsidRPr="00ED7D95">
        <w:rPr>
          <w:rFonts w:cs="Arial"/>
          <w:szCs w:val="20"/>
          <w:lang w:val="cs-CZ"/>
        </w:rPr>
        <w:t>S</w:t>
      </w:r>
      <w:r w:rsidR="00903D79" w:rsidRPr="00ED7D95">
        <w:rPr>
          <w:rFonts w:cs="Arial"/>
          <w:szCs w:val="20"/>
          <w:lang w:val="cs-CZ"/>
        </w:rPr>
        <w:t xml:space="preserve">mlouvu v návaznosti na přidělené frekvence, jež získaly v aukci kmitočtů pro 4G sítě, která se konala v listopadu a prosinci roku 2013. Uzavřením </w:t>
      </w:r>
      <w:r w:rsidR="00C66EA5" w:rsidRPr="00ED7D95">
        <w:rPr>
          <w:rFonts w:cs="Arial"/>
          <w:szCs w:val="20"/>
          <w:lang w:val="cs-CZ"/>
        </w:rPr>
        <w:t>S</w:t>
      </w:r>
      <w:r w:rsidR="00903D79" w:rsidRPr="00ED7D95">
        <w:rPr>
          <w:rFonts w:cs="Arial"/>
          <w:szCs w:val="20"/>
          <w:lang w:val="cs-CZ"/>
        </w:rPr>
        <w:t xml:space="preserve">mlouvy o sdílení </w:t>
      </w:r>
      <w:r w:rsidR="00C66EA5" w:rsidRPr="00ED7D95">
        <w:rPr>
          <w:rFonts w:cs="Arial"/>
          <w:szCs w:val="20"/>
          <w:lang w:val="cs-CZ"/>
        </w:rPr>
        <w:t xml:space="preserve">sítí </w:t>
      </w:r>
      <w:r w:rsidR="00903D79" w:rsidRPr="00ED7D95">
        <w:rPr>
          <w:rFonts w:cs="Arial"/>
          <w:szCs w:val="20"/>
          <w:lang w:val="cs-CZ"/>
        </w:rPr>
        <w:t xml:space="preserve">4G se strany dohodly na rozšíření stávající spolupráce na </w:t>
      </w:r>
      <w:r w:rsidR="001F3246" w:rsidRPr="00ED7D95">
        <w:rPr>
          <w:rFonts w:cs="Arial"/>
          <w:szCs w:val="20"/>
          <w:lang w:val="cs-CZ"/>
        </w:rPr>
        <w:t xml:space="preserve">sítích </w:t>
      </w:r>
      <w:r w:rsidR="00903D79" w:rsidRPr="00ED7D95">
        <w:rPr>
          <w:rFonts w:cs="Arial"/>
          <w:szCs w:val="20"/>
          <w:lang w:val="cs-CZ"/>
        </w:rPr>
        <w:t xml:space="preserve">2G/3G za účelem urychleného </w:t>
      </w:r>
      <w:proofErr w:type="spellStart"/>
      <w:r w:rsidR="00903D79" w:rsidRPr="00ED7D95">
        <w:rPr>
          <w:rFonts w:cs="Arial"/>
          <w:szCs w:val="20"/>
          <w:lang w:val="cs-CZ"/>
        </w:rPr>
        <w:t>roll</w:t>
      </w:r>
      <w:proofErr w:type="spellEnd"/>
      <w:r w:rsidR="00903D79" w:rsidRPr="00ED7D95">
        <w:rPr>
          <w:rFonts w:cs="Arial"/>
          <w:szCs w:val="20"/>
          <w:lang w:val="cs-CZ"/>
        </w:rPr>
        <w:t xml:space="preserve"> </w:t>
      </w:r>
      <w:proofErr w:type="spellStart"/>
      <w:r w:rsidR="00903D79" w:rsidRPr="00ED7D95">
        <w:rPr>
          <w:rFonts w:cs="Arial"/>
          <w:szCs w:val="20"/>
          <w:lang w:val="cs-CZ"/>
        </w:rPr>
        <w:t>outu</w:t>
      </w:r>
      <w:proofErr w:type="spellEnd"/>
      <w:r w:rsidR="00903D79" w:rsidRPr="00ED7D95">
        <w:rPr>
          <w:rFonts w:cs="Arial"/>
          <w:szCs w:val="20"/>
          <w:lang w:val="cs-CZ"/>
        </w:rPr>
        <w:t xml:space="preserve"> spolehlivé a</w:t>
      </w:r>
      <w:r w:rsidR="00247FC2" w:rsidRPr="00ED7D95">
        <w:rPr>
          <w:rFonts w:cs="Arial"/>
          <w:szCs w:val="20"/>
          <w:lang w:val="cs-CZ"/>
        </w:rPr>
        <w:t> </w:t>
      </w:r>
      <w:r w:rsidR="00903D79" w:rsidRPr="00ED7D95">
        <w:rPr>
          <w:rFonts w:cs="Arial"/>
          <w:szCs w:val="20"/>
          <w:lang w:val="cs-CZ"/>
        </w:rPr>
        <w:t>konkurenceschopné 4G sítě, které povede k lepšímu zákaznickému zážitku, umožní zvýšení přenosové rychlosti dat, zlepšení pokrytí a zvýšení efektivnosti a spolehlivosti služeb. Strany dále počítají s dodatečnými úsporami v oblasti kapitálových výdajů, které budou moci být investovány do vývoje a vylepšení služeb poskytovaných koncovým zákazníkům.</w:t>
      </w:r>
    </w:p>
    <w:p w14:paraId="4CDCC63A" w14:textId="074E4791" w:rsidR="00A863C0" w:rsidRPr="00ED7D95" w:rsidRDefault="00903D79" w:rsidP="00731C93">
      <w:pPr>
        <w:ind w:firstLine="567"/>
        <w:rPr>
          <w:lang w:val="cs-CZ"/>
        </w:rPr>
      </w:pPr>
      <w:r w:rsidRPr="00ED7D95">
        <w:rPr>
          <w:lang w:val="cs-CZ"/>
        </w:rPr>
        <w:t>Zároveň si strany vyhradily právo sdílet prvky sítě také s jinými operátory či dalšími subjekty a</w:t>
      </w:r>
      <w:r w:rsidR="00247FC2" w:rsidRPr="00ED7D95">
        <w:rPr>
          <w:lang w:val="cs-CZ"/>
        </w:rPr>
        <w:t> </w:t>
      </w:r>
      <w:r w:rsidR="00C66EA5" w:rsidRPr="00ED7D95">
        <w:rPr>
          <w:lang w:val="cs-CZ"/>
        </w:rPr>
        <w:t>S</w:t>
      </w:r>
      <w:r w:rsidRPr="00ED7D95">
        <w:rPr>
          <w:lang w:val="cs-CZ"/>
        </w:rPr>
        <w:t xml:space="preserve">mlouva </w:t>
      </w:r>
      <w:r w:rsidR="00C66EA5" w:rsidRPr="00ED7D95">
        <w:rPr>
          <w:lang w:val="cs-CZ"/>
        </w:rPr>
        <w:t xml:space="preserve">o sdílení sítí 4G </w:t>
      </w:r>
      <w:r w:rsidRPr="00ED7D95">
        <w:rPr>
          <w:lang w:val="cs-CZ"/>
        </w:rPr>
        <w:t xml:space="preserve">obsahuje závazek </w:t>
      </w:r>
      <w:r w:rsidR="002319F3" w:rsidRPr="00ED7D95">
        <w:rPr>
          <w:lang w:val="cs-CZ"/>
        </w:rPr>
        <w:t>ne-</w:t>
      </w:r>
      <w:r w:rsidRPr="00ED7D95">
        <w:rPr>
          <w:lang w:val="cs-CZ"/>
        </w:rPr>
        <w:t>exkluzivity</w:t>
      </w:r>
      <w:r w:rsidR="002319F3" w:rsidRPr="00ED7D95">
        <w:rPr>
          <w:lang w:val="cs-CZ"/>
        </w:rPr>
        <w:t xml:space="preserve"> a připravenosti stran sdílet síť s dalšími operátory</w:t>
      </w:r>
      <w:r w:rsidRPr="00ED7D95">
        <w:rPr>
          <w:lang w:val="cs-CZ"/>
        </w:rPr>
        <w:t xml:space="preserve">. </w:t>
      </w:r>
      <w:r w:rsidR="00731C93" w:rsidRPr="00ED7D95">
        <w:rPr>
          <w:lang w:val="cs-CZ"/>
        </w:rPr>
        <w:t>S</w:t>
      </w:r>
      <w:r w:rsidRPr="00ED7D95">
        <w:rPr>
          <w:lang w:val="cs-CZ"/>
        </w:rPr>
        <w:t>trany</w:t>
      </w:r>
      <w:r w:rsidR="00731C93" w:rsidRPr="00ED7D95">
        <w:rPr>
          <w:lang w:val="cs-CZ"/>
        </w:rPr>
        <w:t xml:space="preserve"> se</w:t>
      </w:r>
      <w:r w:rsidRPr="00ED7D95">
        <w:rPr>
          <w:lang w:val="cs-CZ"/>
        </w:rPr>
        <w:t xml:space="preserve"> zavázaly v souladu se závazky soutěžního práva či jiné regulace prozkoumávat jiné možnosti sdílení sítí pro 4G služby za účelem snížení nákladů a nalezení </w:t>
      </w:r>
      <w:r w:rsidR="00731C93" w:rsidRPr="00ED7D95">
        <w:rPr>
          <w:lang w:val="cs-CZ"/>
        </w:rPr>
        <w:t>S</w:t>
      </w:r>
      <w:r w:rsidRPr="00ED7D95">
        <w:rPr>
          <w:lang w:val="cs-CZ"/>
        </w:rPr>
        <w:t xml:space="preserve">trany mohou budovat vlastní síť nad rámec ve </w:t>
      </w:r>
      <w:r w:rsidR="00C66EA5" w:rsidRPr="00ED7D95">
        <w:rPr>
          <w:lang w:val="cs-CZ"/>
        </w:rPr>
        <w:t>S</w:t>
      </w:r>
      <w:r w:rsidRPr="00ED7D95">
        <w:rPr>
          <w:lang w:val="cs-CZ"/>
        </w:rPr>
        <w:t>mlouvě definované sdílené sítě na území celé republiky, tj.</w:t>
      </w:r>
      <w:r w:rsidR="00CE7232" w:rsidRPr="00ED7D95">
        <w:rPr>
          <w:lang w:val="cs-CZ"/>
        </w:rPr>
        <w:t> </w:t>
      </w:r>
      <w:r w:rsidRPr="00ED7D95">
        <w:rPr>
          <w:lang w:val="cs-CZ"/>
        </w:rPr>
        <w:t>i</w:t>
      </w:r>
      <w:r w:rsidR="0082201B" w:rsidRPr="00ED7D95">
        <w:rPr>
          <w:lang w:val="cs-CZ"/>
        </w:rPr>
        <w:t> </w:t>
      </w:r>
      <w:r w:rsidRPr="00ED7D95">
        <w:rPr>
          <w:lang w:val="cs-CZ"/>
        </w:rPr>
        <w:t>v</w:t>
      </w:r>
      <w:r w:rsidR="0082201B" w:rsidRPr="00ED7D95">
        <w:rPr>
          <w:lang w:val="cs-CZ"/>
        </w:rPr>
        <w:t> </w:t>
      </w:r>
      <w:r w:rsidRPr="00ED7D95">
        <w:rPr>
          <w:lang w:val="cs-CZ"/>
        </w:rPr>
        <w:t xml:space="preserve">oblasti, jež patří dle </w:t>
      </w:r>
      <w:r w:rsidR="00044F06" w:rsidRPr="00ED7D95">
        <w:rPr>
          <w:lang w:val="cs-CZ"/>
        </w:rPr>
        <w:t>S</w:t>
      </w:r>
      <w:r w:rsidRPr="00ED7D95">
        <w:rPr>
          <w:lang w:val="cs-CZ"/>
        </w:rPr>
        <w:t>mlouvy o sdílení sítí 4G do sféry vlivu druhého operátora. Vzhledem k</w:t>
      </w:r>
      <w:r w:rsidR="0082201B" w:rsidRPr="00ED7D95">
        <w:rPr>
          <w:lang w:val="cs-CZ"/>
        </w:rPr>
        <w:t> </w:t>
      </w:r>
      <w:r w:rsidRPr="00ED7D95">
        <w:rPr>
          <w:lang w:val="cs-CZ"/>
        </w:rPr>
        <w:t xml:space="preserve">výše uvedenému strany ve </w:t>
      </w:r>
      <w:r w:rsidR="00044F06" w:rsidRPr="00ED7D95">
        <w:rPr>
          <w:lang w:val="cs-CZ"/>
        </w:rPr>
        <w:t>S</w:t>
      </w:r>
      <w:r w:rsidRPr="00ED7D95">
        <w:rPr>
          <w:lang w:val="cs-CZ"/>
        </w:rPr>
        <w:t xml:space="preserve">mlouvě prohlašují, že uzavřením </w:t>
      </w:r>
      <w:r w:rsidR="00044F06" w:rsidRPr="00ED7D95">
        <w:rPr>
          <w:lang w:val="cs-CZ"/>
        </w:rPr>
        <w:t>S</w:t>
      </w:r>
      <w:r w:rsidRPr="00ED7D95">
        <w:rPr>
          <w:lang w:val="cs-CZ"/>
        </w:rPr>
        <w:t>mlouvy nedochází k narušení hospodářské soutěže či omezení nezávislosti operátorů.</w:t>
      </w:r>
      <w:r w:rsidR="00A863C0" w:rsidRPr="00ED7D95">
        <w:rPr>
          <w:lang w:val="cs-CZ"/>
        </w:rPr>
        <w:t xml:space="preserve"> </w:t>
      </w:r>
    </w:p>
    <w:p w14:paraId="4CAD77B6" w14:textId="77777777" w:rsidR="00EE4B96" w:rsidRPr="00ED7D95" w:rsidRDefault="00F53D4F" w:rsidP="005916AF">
      <w:pPr>
        <w:pStyle w:val="Nadpis2"/>
        <w:keepNext w:val="0"/>
        <w:numPr>
          <w:ilvl w:val="2"/>
          <w:numId w:val="3"/>
        </w:numPr>
        <w:rPr>
          <w:b w:val="0"/>
          <w:i/>
        </w:rPr>
      </w:pPr>
      <w:bookmarkStart w:id="202" w:name="_Toc301423686"/>
      <w:r w:rsidRPr="00ED7D95">
        <w:rPr>
          <w:b w:val="0"/>
          <w:i/>
        </w:rPr>
        <w:t>Právní vyhodnocení dopadů sdílení sítí v České republice na soutěž v oblasti výstavby a</w:t>
      </w:r>
      <w:r w:rsidR="00AC6783" w:rsidRPr="00ED7D95">
        <w:rPr>
          <w:b w:val="0"/>
          <w:i/>
        </w:rPr>
        <w:t> </w:t>
      </w:r>
      <w:r w:rsidRPr="00ED7D95">
        <w:rPr>
          <w:b w:val="0"/>
          <w:i/>
        </w:rPr>
        <w:t>údržby sítí</w:t>
      </w:r>
      <w:bookmarkEnd w:id="202"/>
      <w:r w:rsidR="00EE4B96" w:rsidRPr="00ED7D95">
        <w:rPr>
          <w:b w:val="0"/>
          <w:i/>
        </w:rPr>
        <w:t xml:space="preserve"> </w:t>
      </w:r>
    </w:p>
    <w:p w14:paraId="35D65663" w14:textId="328B9856" w:rsidR="00F53D4F" w:rsidRPr="00475828" w:rsidRDefault="00EE4B96" w:rsidP="005916AF">
      <w:pPr>
        <w:ind w:firstLine="567"/>
        <w:rPr>
          <w:lang w:val="cs-CZ"/>
        </w:rPr>
      </w:pPr>
      <w:r w:rsidRPr="00ED7D95">
        <w:rPr>
          <w:lang w:val="cs-CZ"/>
        </w:rPr>
        <w:t>Na základě výše uvedeného je možné uzavřít, že smlouvy o sdílení sítí neobsahují ustanovení, která by výslovně bránila dalšímu rozvoji v oblasti výstavby a rozvoje sítí a</w:t>
      </w:r>
      <w:r w:rsidR="0082201B" w:rsidRPr="00ED7D95">
        <w:rPr>
          <w:lang w:val="cs-CZ"/>
        </w:rPr>
        <w:t> </w:t>
      </w:r>
      <w:r w:rsidRPr="00ED7D95">
        <w:rPr>
          <w:lang w:val="cs-CZ"/>
        </w:rPr>
        <w:t xml:space="preserve">implementaci inovativních řešení jednotlivými stranami </w:t>
      </w:r>
      <w:r w:rsidR="003C6D2C" w:rsidRPr="00ED7D95">
        <w:rPr>
          <w:lang w:val="cs-CZ"/>
        </w:rPr>
        <w:t>smluv</w:t>
      </w:r>
      <w:r w:rsidRPr="00ED7D95">
        <w:rPr>
          <w:lang w:val="cs-CZ"/>
        </w:rPr>
        <w:t>.</w:t>
      </w:r>
      <w:r w:rsidR="00A863C0" w:rsidRPr="00ED7D95">
        <w:rPr>
          <w:lang w:val="cs-CZ"/>
        </w:rPr>
        <w:t xml:space="preserve"> U </w:t>
      </w:r>
      <w:r w:rsidR="001F3246" w:rsidRPr="00ED7D95">
        <w:rPr>
          <w:lang w:val="cs-CZ"/>
        </w:rPr>
        <w:t xml:space="preserve">sítí </w:t>
      </w:r>
      <w:r w:rsidR="00A863C0" w:rsidRPr="00ED7D95">
        <w:rPr>
          <w:lang w:val="cs-CZ"/>
        </w:rPr>
        <w:t xml:space="preserve">4G </w:t>
      </w:r>
      <w:r w:rsidR="0083358C" w:rsidRPr="00ED7D95">
        <w:rPr>
          <w:lang w:val="cs-CZ"/>
        </w:rPr>
        <w:t>S</w:t>
      </w:r>
      <w:r w:rsidR="00A863C0" w:rsidRPr="00ED7D95">
        <w:rPr>
          <w:lang w:val="cs-CZ"/>
        </w:rPr>
        <w:t xml:space="preserve">mlouva předvídá stranami </w:t>
      </w:r>
      <w:r w:rsidR="00687AB6" w:rsidRPr="00ED7D95">
        <w:rPr>
          <w:lang w:val="cs-CZ"/>
        </w:rPr>
        <w:t>do</w:t>
      </w:r>
      <w:r w:rsidR="00CE7232" w:rsidRPr="00ED7D95">
        <w:rPr>
          <w:lang w:val="cs-CZ"/>
        </w:rPr>
        <w:t> </w:t>
      </w:r>
      <w:r w:rsidR="00687AB6" w:rsidRPr="00ED7D95">
        <w:rPr>
          <w:lang w:val="cs-CZ"/>
        </w:rPr>
        <w:t xml:space="preserve">určité míry </w:t>
      </w:r>
      <w:r w:rsidR="00A863C0" w:rsidRPr="00ED7D95">
        <w:rPr>
          <w:lang w:val="cs-CZ"/>
        </w:rPr>
        <w:t>koordinované investice</w:t>
      </w:r>
      <w:r w:rsidR="00DB231F" w:rsidRPr="00ED7D95">
        <w:rPr>
          <w:lang w:val="cs-CZ"/>
        </w:rPr>
        <w:t xml:space="preserve"> (závazek recipročně a vyrovnaně investovat do</w:t>
      </w:r>
      <w:r w:rsidR="00CE7232" w:rsidRPr="00ED7D95">
        <w:rPr>
          <w:lang w:val="cs-CZ"/>
        </w:rPr>
        <w:t> </w:t>
      </w:r>
      <w:r w:rsidR="00DB231F" w:rsidRPr="00ED7D95">
        <w:rPr>
          <w:lang w:val="cs-CZ"/>
        </w:rPr>
        <w:t>společného pokrytí, teritorialita)</w:t>
      </w:r>
      <w:r w:rsidR="00A863C0" w:rsidRPr="00ED7D95">
        <w:rPr>
          <w:lang w:val="cs-CZ"/>
        </w:rPr>
        <w:t xml:space="preserve"> do </w:t>
      </w:r>
      <w:proofErr w:type="spellStart"/>
      <w:r w:rsidR="00A863C0" w:rsidRPr="00ED7D95">
        <w:rPr>
          <w:lang w:val="cs-CZ"/>
        </w:rPr>
        <w:t>roll-out</w:t>
      </w:r>
      <w:proofErr w:type="spellEnd"/>
      <w:r w:rsidR="00A863C0" w:rsidRPr="00ED7D95">
        <w:rPr>
          <w:lang w:val="cs-CZ"/>
        </w:rPr>
        <w:t xml:space="preserve"> těchto sítí.</w:t>
      </w:r>
    </w:p>
    <w:p w14:paraId="7ABCE290" w14:textId="77777777" w:rsidR="00F53D4F" w:rsidRPr="00C47A5C" w:rsidRDefault="00FF5B55" w:rsidP="005916AF">
      <w:pPr>
        <w:pStyle w:val="Nadpis2"/>
        <w:keepNext w:val="0"/>
        <w:numPr>
          <w:ilvl w:val="2"/>
          <w:numId w:val="3"/>
        </w:numPr>
        <w:rPr>
          <w:b w:val="0"/>
          <w:i/>
        </w:rPr>
      </w:pPr>
      <w:bookmarkStart w:id="203" w:name="_Toc301423687"/>
      <w:r w:rsidRPr="00C47A5C">
        <w:rPr>
          <w:b w:val="0"/>
          <w:i/>
        </w:rPr>
        <w:t>Ekonomické vyhodnocení dopadů sdílení sítí v České republice na soutěž v oblasti výstavby a údržby sítí</w:t>
      </w:r>
      <w:bookmarkEnd w:id="203"/>
    </w:p>
    <w:p w14:paraId="3B4C9CE8" w14:textId="77777777" w:rsidR="009A6E8E" w:rsidRPr="00475828" w:rsidRDefault="009A6E8E" w:rsidP="005916AF">
      <w:pPr>
        <w:ind w:firstLine="567"/>
        <w:rPr>
          <w:lang w:val="cs-CZ"/>
        </w:rPr>
      </w:pPr>
      <w:r w:rsidRPr="00475828">
        <w:rPr>
          <w:lang w:val="cs-CZ"/>
        </w:rPr>
        <w:t>Hlavním rizikem pro hospodářskou soutěž pokud jde o výstavbu a údržbu sítí je omezení soutěže v úrovni maloobchodních služeb, zejména omezením různorodosti těchto služeb. Různorodost služeb na maloobchodní úrovni může být ovlivněna na úrovni sítě v</w:t>
      </w:r>
      <w:r w:rsidR="0082201B">
        <w:rPr>
          <w:lang w:val="cs-CZ"/>
        </w:rPr>
        <w:t> </w:t>
      </w:r>
      <w:r w:rsidRPr="00475828">
        <w:rPr>
          <w:lang w:val="cs-CZ"/>
        </w:rPr>
        <w:t>následujících rovinách:</w:t>
      </w:r>
    </w:p>
    <w:p w14:paraId="052C4E05" w14:textId="77777777" w:rsidR="004D165C" w:rsidRPr="00475828" w:rsidRDefault="009A6E8E" w:rsidP="005916AF">
      <w:pPr>
        <w:numPr>
          <w:ilvl w:val="0"/>
          <w:numId w:val="25"/>
        </w:numPr>
        <w:rPr>
          <w:i/>
          <w:lang w:val="cs-CZ"/>
        </w:rPr>
      </w:pPr>
      <w:r w:rsidRPr="00475828">
        <w:rPr>
          <w:i/>
          <w:lang w:val="cs-CZ"/>
        </w:rPr>
        <w:t xml:space="preserve">Různorodost služeb daná topologií sítě. </w:t>
      </w:r>
    </w:p>
    <w:p w14:paraId="66C22487" w14:textId="0E41967A" w:rsidR="005916AF" w:rsidRDefault="009A6E8E" w:rsidP="00D73AE2">
      <w:pPr>
        <w:ind w:firstLine="567"/>
        <w:rPr>
          <w:lang w:val="cs-CZ"/>
        </w:rPr>
      </w:pPr>
      <w:r w:rsidRPr="00475828">
        <w:rPr>
          <w:bCs/>
          <w:lang w:val="cs-CZ"/>
        </w:rPr>
        <w:t>Topologie sítě</w:t>
      </w:r>
      <w:r w:rsidR="000E1AFE">
        <w:rPr>
          <w:bCs/>
          <w:lang w:val="cs-CZ"/>
        </w:rPr>
        <w:t xml:space="preserve"> (struktura sítě včetně jejich parametrů)</w:t>
      </w:r>
      <w:r w:rsidRPr="00475828">
        <w:rPr>
          <w:bCs/>
          <w:lang w:val="cs-CZ"/>
        </w:rPr>
        <w:t xml:space="preserve"> může ovlivňovat zejména </w:t>
      </w:r>
      <w:r w:rsidR="00D26994" w:rsidRPr="00475828">
        <w:rPr>
          <w:bCs/>
          <w:lang w:val="cs-CZ"/>
        </w:rPr>
        <w:t xml:space="preserve">takové </w:t>
      </w:r>
      <w:r w:rsidRPr="00475828">
        <w:rPr>
          <w:bCs/>
          <w:lang w:val="cs-CZ"/>
        </w:rPr>
        <w:t>parametry</w:t>
      </w:r>
      <w:r w:rsidR="00D26994" w:rsidRPr="00475828">
        <w:rPr>
          <w:bCs/>
          <w:lang w:val="cs-CZ"/>
        </w:rPr>
        <w:t xml:space="preserve"> spojené s kvalitou poskytovaných</w:t>
      </w:r>
      <w:r w:rsidRPr="00475828">
        <w:rPr>
          <w:lang w:val="cs-CZ"/>
        </w:rPr>
        <w:t xml:space="preserve"> služeb jako pokrytí nebo maximální kapacita. Lze předpokládat, že sdílení sítí povede k určité unifikaci těchto parametrů služeb sdílejících operátorů. U 2G a 3G sítí tyto parametry pravděpodobně nebudou rozhodující pro soutěž na</w:t>
      </w:r>
      <w:r w:rsidR="00CE7232">
        <w:rPr>
          <w:lang w:val="cs-CZ"/>
        </w:rPr>
        <w:t> </w:t>
      </w:r>
      <w:r w:rsidRPr="00475828">
        <w:rPr>
          <w:lang w:val="cs-CZ"/>
        </w:rPr>
        <w:t>maloobchodní úrovni, protože všechny sítě mají z pohledu koncových uživatelů srovnatelné pokrytí a dostatečnou kapacitu a</w:t>
      </w:r>
      <w:r w:rsidR="0082201B">
        <w:rPr>
          <w:lang w:val="cs-CZ"/>
        </w:rPr>
        <w:t> </w:t>
      </w:r>
      <w:r w:rsidRPr="00475828">
        <w:rPr>
          <w:lang w:val="cs-CZ"/>
        </w:rPr>
        <w:t xml:space="preserve">tyto faktory tudíž nejsou zásadní pro výběr operátora. Pokud v některých oblastech byly výjimečně problémy s pokrytím, tak lze předpokládat, že sdílení sítí povede spíše ke zlepšení této situace ve vybraných lokalitách. U 4G sítí mohou tyto faktory být významnější, nicméně určitá minimální míra unifikace je bez ohledu na sdílení sítí nastavena rozvojovými kritérií pro nedávno přidělené 4G spektrum. V krátkodobém horizontu tudíž Úřad neočekává, že by sdílení sítí mělo zásadní vliv na soutěž na maloobchodním trhu z důvodu případné omezené různorodostí služeb dané shodnou nebo koordinovanou topologií sítě. </w:t>
      </w:r>
      <w:r w:rsidRPr="00AC29F4">
        <w:rPr>
          <w:lang w:val="cs-CZ"/>
        </w:rPr>
        <w:t>Smlouva o sdílení 4G sítí navíc umožňuje oběma sdílejícím operátorům stavět vlastní síť i</w:t>
      </w:r>
      <w:r w:rsidR="00CE7232" w:rsidRPr="00AC29F4">
        <w:rPr>
          <w:lang w:val="cs-CZ"/>
        </w:rPr>
        <w:t> </w:t>
      </w:r>
      <w:r w:rsidRPr="00AC29F4">
        <w:rPr>
          <w:lang w:val="cs-CZ"/>
        </w:rPr>
        <w:t>na</w:t>
      </w:r>
      <w:r w:rsidR="00CE7232" w:rsidRPr="00AC29F4">
        <w:rPr>
          <w:lang w:val="cs-CZ"/>
        </w:rPr>
        <w:t> </w:t>
      </w:r>
      <w:r w:rsidRPr="00AC29F4">
        <w:rPr>
          <w:lang w:val="cs-CZ"/>
        </w:rPr>
        <w:t>území druhého operátora. Pokud by topologie sítě výjimečně představovala zásadní soutěžní výhodu, jako například u velkých</w:t>
      </w:r>
      <w:r w:rsidRPr="00475828">
        <w:rPr>
          <w:lang w:val="cs-CZ"/>
        </w:rPr>
        <w:t xml:space="preserve"> zákazníků mimo městské aglomerace, je soutěž v</w:t>
      </w:r>
      <w:r w:rsidR="00CE7232">
        <w:rPr>
          <w:lang w:val="cs-CZ"/>
        </w:rPr>
        <w:t> </w:t>
      </w:r>
      <w:r w:rsidRPr="00475828">
        <w:rPr>
          <w:lang w:val="cs-CZ"/>
        </w:rPr>
        <w:t>této oblasti dohodami o</w:t>
      </w:r>
      <w:r w:rsidR="00247FC2">
        <w:rPr>
          <w:lang w:val="cs-CZ"/>
        </w:rPr>
        <w:t> </w:t>
      </w:r>
      <w:r w:rsidRPr="00475828">
        <w:rPr>
          <w:lang w:val="cs-CZ"/>
        </w:rPr>
        <w:t xml:space="preserve">sdílení sítí umožněna. V praxi se může jednat i o </w:t>
      </w:r>
      <w:r w:rsidR="00CE7232" w:rsidRPr="00475828">
        <w:rPr>
          <w:lang w:val="cs-CZ"/>
        </w:rPr>
        <w:t>dočasn</w:t>
      </w:r>
      <w:r w:rsidR="00CE7232">
        <w:rPr>
          <w:lang w:val="cs-CZ"/>
        </w:rPr>
        <w:t>á</w:t>
      </w:r>
      <w:r w:rsidR="00CE7232" w:rsidRPr="00475828">
        <w:rPr>
          <w:lang w:val="cs-CZ"/>
        </w:rPr>
        <w:t xml:space="preserve"> </w:t>
      </w:r>
      <w:r w:rsidRPr="00475828">
        <w:rPr>
          <w:lang w:val="cs-CZ"/>
        </w:rPr>
        <w:t>řešení mobilními stanovišti.</w:t>
      </w:r>
    </w:p>
    <w:p w14:paraId="410030C0" w14:textId="77777777" w:rsidR="004D165C" w:rsidRPr="00475828" w:rsidRDefault="009A6E8E" w:rsidP="00C95099">
      <w:pPr>
        <w:keepNext/>
        <w:numPr>
          <w:ilvl w:val="0"/>
          <w:numId w:val="25"/>
        </w:numPr>
        <w:ind w:left="714" w:hanging="357"/>
        <w:rPr>
          <w:i/>
          <w:lang w:val="cs-CZ"/>
        </w:rPr>
      </w:pPr>
      <w:r w:rsidRPr="00475828">
        <w:rPr>
          <w:i/>
          <w:lang w:val="cs-CZ"/>
        </w:rPr>
        <w:t xml:space="preserve">Různorodost daná strukturou komerčních nabídek operátorů. </w:t>
      </w:r>
    </w:p>
    <w:p w14:paraId="3F5B0A32" w14:textId="151DB19C" w:rsidR="009A6E8E" w:rsidRPr="00AC29F4" w:rsidRDefault="00CE7232" w:rsidP="005916AF">
      <w:pPr>
        <w:ind w:firstLine="567"/>
        <w:rPr>
          <w:lang w:val="cs-CZ"/>
        </w:rPr>
      </w:pPr>
      <w:r w:rsidRPr="00AC29F4">
        <w:rPr>
          <w:lang w:val="cs-CZ"/>
        </w:rPr>
        <w:t>Ze</w:t>
      </w:r>
      <w:r w:rsidR="009A6E8E" w:rsidRPr="00AC29F4">
        <w:rPr>
          <w:lang w:val="cs-CZ"/>
        </w:rPr>
        <w:t xml:space="preserve"> smluv o sdílení sítí </w:t>
      </w:r>
      <w:r w:rsidRPr="00AC29F4">
        <w:rPr>
          <w:lang w:val="cs-CZ"/>
        </w:rPr>
        <w:t xml:space="preserve">i </w:t>
      </w:r>
      <w:r w:rsidR="009A6E8E" w:rsidRPr="00AC29F4">
        <w:rPr>
          <w:lang w:val="cs-CZ"/>
        </w:rPr>
        <w:t>z vyjádření operátorů vyplývá, že oba sdílející operátoři si ponechávají úplnou nezávislost</w:t>
      </w:r>
      <w:r w:rsidR="00687F9C" w:rsidRPr="00AC29F4">
        <w:rPr>
          <w:lang w:val="cs-CZ"/>
        </w:rPr>
        <w:t>,</w:t>
      </w:r>
      <w:r w:rsidR="009A6E8E" w:rsidRPr="00AC29F4">
        <w:rPr>
          <w:lang w:val="cs-CZ"/>
        </w:rPr>
        <w:t xml:space="preserve"> pokud jde o vytváření komerčních </w:t>
      </w:r>
      <w:r w:rsidR="00DB72A2" w:rsidRPr="00AC29F4">
        <w:rPr>
          <w:lang w:val="cs-CZ"/>
        </w:rPr>
        <w:t>nabídek</w:t>
      </w:r>
      <w:r w:rsidR="00B5168E" w:rsidRPr="00AC29F4">
        <w:rPr>
          <w:lang w:val="cs-CZ"/>
        </w:rPr>
        <w:t xml:space="preserve"> a obchodních vztahů obecně</w:t>
      </w:r>
      <w:r w:rsidR="009A6E8E" w:rsidRPr="00AC29F4">
        <w:rPr>
          <w:lang w:val="cs-CZ"/>
        </w:rPr>
        <w:t>. Sdílen</w:t>
      </w:r>
      <w:r w:rsidR="00687F9C" w:rsidRPr="00AC29F4">
        <w:rPr>
          <w:lang w:val="cs-CZ"/>
        </w:rPr>
        <w:t>í</w:t>
      </w:r>
      <w:r w:rsidR="009A6E8E" w:rsidRPr="00AC29F4">
        <w:rPr>
          <w:lang w:val="cs-CZ"/>
        </w:rPr>
        <w:t xml:space="preserve"> pasivní</w:t>
      </w:r>
      <w:r w:rsidR="00687F9C" w:rsidRPr="00AC29F4">
        <w:rPr>
          <w:lang w:val="cs-CZ"/>
        </w:rPr>
        <w:t>ch a</w:t>
      </w:r>
      <w:r w:rsidR="00247FC2" w:rsidRPr="00AC29F4">
        <w:rPr>
          <w:lang w:val="cs-CZ"/>
        </w:rPr>
        <w:t> </w:t>
      </w:r>
      <w:r w:rsidR="00687F9C" w:rsidRPr="00AC29F4">
        <w:rPr>
          <w:lang w:val="cs-CZ"/>
        </w:rPr>
        <w:t xml:space="preserve">aktivních prvků </w:t>
      </w:r>
      <w:r w:rsidR="009A6E8E" w:rsidRPr="00AC29F4">
        <w:rPr>
          <w:lang w:val="cs-CZ"/>
        </w:rPr>
        <w:t>sítě</w:t>
      </w:r>
      <w:r w:rsidR="00687F9C" w:rsidRPr="00AC29F4">
        <w:rPr>
          <w:lang w:val="cs-CZ"/>
        </w:rPr>
        <w:t xml:space="preserve"> v rozsahu smluv o sdílení sítí</w:t>
      </w:r>
      <w:r w:rsidR="009A6E8E" w:rsidRPr="00AC29F4">
        <w:rPr>
          <w:lang w:val="cs-CZ"/>
        </w:rPr>
        <w:t xml:space="preserve"> jim </w:t>
      </w:r>
      <w:r w:rsidR="00687F9C" w:rsidRPr="00AC29F4">
        <w:rPr>
          <w:lang w:val="cs-CZ"/>
        </w:rPr>
        <w:t xml:space="preserve">neznemožňuje </w:t>
      </w:r>
      <w:r w:rsidR="00CE2650" w:rsidRPr="00AC29F4">
        <w:rPr>
          <w:lang w:val="cs-CZ"/>
        </w:rPr>
        <w:t>diferenc</w:t>
      </w:r>
      <w:r w:rsidR="009A6E8E" w:rsidRPr="00AC29F4">
        <w:rPr>
          <w:lang w:val="cs-CZ"/>
        </w:rPr>
        <w:t xml:space="preserve">ovat služby </w:t>
      </w:r>
      <w:r w:rsidR="006E7ACF" w:rsidRPr="00AC29F4">
        <w:rPr>
          <w:lang w:val="cs-CZ"/>
        </w:rPr>
        <w:t>co</w:t>
      </w:r>
      <w:r w:rsidRPr="00AC29F4">
        <w:rPr>
          <w:lang w:val="cs-CZ"/>
        </w:rPr>
        <w:t> </w:t>
      </w:r>
      <w:r w:rsidR="006E7ACF" w:rsidRPr="00AC29F4">
        <w:rPr>
          <w:lang w:val="cs-CZ"/>
        </w:rPr>
        <w:t xml:space="preserve">do </w:t>
      </w:r>
      <w:r w:rsidR="00D26994" w:rsidRPr="00AC29F4">
        <w:rPr>
          <w:lang w:val="cs-CZ"/>
        </w:rPr>
        <w:t>rychlosti či datového limitu</w:t>
      </w:r>
      <w:r w:rsidR="009A6E8E" w:rsidRPr="00AC29F4">
        <w:rPr>
          <w:lang w:val="cs-CZ"/>
        </w:rPr>
        <w:t>, což jsou v současné době kromě ceny základní parametry, kterými operátoři soutěží o získání koncových zákazníků. Lze předpokládat, že</w:t>
      </w:r>
      <w:r w:rsidRPr="00AC29F4">
        <w:rPr>
          <w:lang w:val="cs-CZ"/>
        </w:rPr>
        <w:t> </w:t>
      </w:r>
      <w:r w:rsidR="009A6E8E" w:rsidRPr="00AC29F4">
        <w:rPr>
          <w:lang w:val="cs-CZ"/>
        </w:rPr>
        <w:t>různorodost služeb na maloobchodním trhu v těchto parametrech nebude sdílením sítí nijak dotčena</w:t>
      </w:r>
      <w:r w:rsidR="00687F9C" w:rsidRPr="00AC29F4">
        <w:rPr>
          <w:lang w:val="cs-CZ"/>
        </w:rPr>
        <w:t>.</w:t>
      </w:r>
    </w:p>
    <w:p w14:paraId="22A2EED7" w14:textId="2F336A84" w:rsidR="00D26994" w:rsidRPr="00AC29F4" w:rsidRDefault="00D26994" w:rsidP="005916AF">
      <w:pPr>
        <w:ind w:firstLine="567"/>
        <w:rPr>
          <w:lang w:val="cs-CZ"/>
        </w:rPr>
      </w:pPr>
      <w:r w:rsidRPr="00AC29F4">
        <w:rPr>
          <w:lang w:val="cs-CZ"/>
        </w:rPr>
        <w:t xml:space="preserve">Schopnost sdílejících operátorů vzájemně odlišovat parametry maloobchodních služeb je zásadně ovlivněna rozsahem sdílené infrastruktury. </w:t>
      </w:r>
      <w:r w:rsidR="003A68E7" w:rsidRPr="00AC29F4">
        <w:rPr>
          <w:lang w:val="cs-CZ"/>
        </w:rPr>
        <w:t>V posuzované spolupráci společností O2 a</w:t>
      </w:r>
      <w:r w:rsidR="00247FC2" w:rsidRPr="00AC29F4">
        <w:rPr>
          <w:lang w:val="cs-CZ"/>
        </w:rPr>
        <w:t> </w:t>
      </w:r>
      <w:r w:rsidR="00CE7232" w:rsidRPr="00AC29F4">
        <w:rPr>
          <w:lang w:val="cs-CZ"/>
        </w:rPr>
        <w:t>TMCZ</w:t>
      </w:r>
      <w:r w:rsidR="003A68E7" w:rsidRPr="00AC29F4">
        <w:rPr>
          <w:lang w:val="cs-CZ"/>
        </w:rPr>
        <w:t xml:space="preserve"> je předmětem sdílení </w:t>
      </w:r>
      <w:r w:rsidR="004D2EEA" w:rsidRPr="00AC29F4">
        <w:rPr>
          <w:lang w:val="cs-CZ"/>
        </w:rPr>
        <w:t xml:space="preserve">infrastruktura rádiové přístupové sítě (stožár, anténa, kabeláž atp.), zatímco logické prvky páteřní sítě, ve kterých dochází k nastavování parametrů služeb, předmětem sdílení nejsou. Mezi tyto nesdílené prvky páteřní sítě patří </w:t>
      </w:r>
      <w:r w:rsidR="0088609D" w:rsidRPr="00AC29F4">
        <w:rPr>
          <w:lang w:val="cs-CZ"/>
        </w:rPr>
        <w:t xml:space="preserve">např. </w:t>
      </w:r>
      <w:r w:rsidR="004D2EEA" w:rsidRPr="00AC29F4">
        <w:rPr>
          <w:lang w:val="cs-CZ"/>
        </w:rPr>
        <w:t>hlasová ústředna, registr účastnických dat</w:t>
      </w:r>
      <w:r w:rsidR="0022593E" w:rsidRPr="00AC29F4">
        <w:rPr>
          <w:lang w:val="cs-CZ"/>
        </w:rPr>
        <w:t>, autentizační centrum, datová ústředna či SMSC a MMS.</w:t>
      </w:r>
      <w:r w:rsidR="004D2EEA" w:rsidRPr="00AC29F4">
        <w:rPr>
          <w:lang w:val="cs-CZ"/>
        </w:rPr>
        <w:t xml:space="preserve"> Sdílení se rovněž nevztahuje na rádiové kmitočty, přidělené oběma operátorům.</w:t>
      </w:r>
      <w:r w:rsidR="0022593E" w:rsidRPr="00AC29F4">
        <w:rPr>
          <w:lang w:val="cs-CZ"/>
        </w:rPr>
        <w:t xml:space="preserve"> Každý z operátorů tak prostřednictvím logických a řídících prvků sítě</w:t>
      </w:r>
      <w:r w:rsidR="00DA3346" w:rsidRPr="00AC29F4">
        <w:rPr>
          <w:lang w:val="cs-CZ"/>
        </w:rPr>
        <w:t>, na které se nevztahuje sdílení sítí,</w:t>
      </w:r>
      <w:r w:rsidR="0022593E" w:rsidRPr="00AC29F4">
        <w:rPr>
          <w:lang w:val="cs-CZ"/>
        </w:rPr>
        <w:t xml:space="preserve"> může nastavit parametry svých maloobchodních služeb v závislosti na velikosti spektra, počtu zákazníků</w:t>
      </w:r>
      <w:r w:rsidR="00E6369C" w:rsidRPr="00AC29F4">
        <w:rPr>
          <w:lang w:val="cs-CZ"/>
        </w:rPr>
        <w:t xml:space="preserve"> i marketingové strategii (typicky zda operátor upřednostňuje služby s vyšší rychlostí, ale nižším datovým limitem či naopak).</w:t>
      </w:r>
    </w:p>
    <w:p w14:paraId="5FB17D4E" w14:textId="77777777" w:rsidR="004D165C" w:rsidRPr="00AC29F4" w:rsidRDefault="009A6E8E" w:rsidP="005916AF">
      <w:pPr>
        <w:numPr>
          <w:ilvl w:val="0"/>
          <w:numId w:val="25"/>
        </w:numPr>
        <w:rPr>
          <w:i/>
          <w:lang w:val="cs-CZ"/>
        </w:rPr>
      </w:pPr>
      <w:r w:rsidRPr="00AC29F4">
        <w:rPr>
          <w:i/>
          <w:lang w:val="cs-CZ"/>
        </w:rPr>
        <w:t xml:space="preserve">Různorodost služeb daná inovací technologie. </w:t>
      </w:r>
    </w:p>
    <w:p w14:paraId="3720F2F3" w14:textId="7E612B71" w:rsidR="009A6E8E" w:rsidRPr="00475828" w:rsidRDefault="00D73AE2" w:rsidP="005916AF">
      <w:pPr>
        <w:ind w:firstLine="567"/>
        <w:rPr>
          <w:lang w:val="cs-CZ"/>
        </w:rPr>
      </w:pPr>
      <w:r>
        <w:rPr>
          <w:lang w:val="cs-CZ"/>
        </w:rPr>
        <w:t>S</w:t>
      </w:r>
      <w:r w:rsidR="009A6E8E" w:rsidRPr="00AC29F4">
        <w:rPr>
          <w:lang w:val="cs-CZ"/>
        </w:rPr>
        <w:t>dílení sítí pravděpodobně urychlí rozvoj 4G technologií a</w:t>
      </w:r>
      <w:r w:rsidR="0082201B" w:rsidRPr="00AC29F4">
        <w:rPr>
          <w:lang w:val="cs-CZ"/>
        </w:rPr>
        <w:t> </w:t>
      </w:r>
      <w:r w:rsidR="009A6E8E" w:rsidRPr="00AC29F4">
        <w:rPr>
          <w:lang w:val="cs-CZ"/>
        </w:rPr>
        <w:t xml:space="preserve">inovace v počáteční fázi výstavby 4G sítí. V současné době lze tedy </w:t>
      </w:r>
      <w:r>
        <w:rPr>
          <w:lang w:val="cs-CZ"/>
        </w:rPr>
        <w:t>očekávat spíše pozitivní vliv v </w:t>
      </w:r>
      <w:r w:rsidR="009A6E8E" w:rsidRPr="00AC29F4">
        <w:rPr>
          <w:lang w:val="cs-CZ"/>
        </w:rPr>
        <w:t>oblasti inovací. Ve střednědobém a dlouhodobém časovém horizontu bude třeba tuto oblast monitorovat a</w:t>
      </w:r>
      <w:r w:rsidR="00247FC2" w:rsidRPr="00AC29F4">
        <w:rPr>
          <w:lang w:val="cs-CZ"/>
        </w:rPr>
        <w:t> </w:t>
      </w:r>
      <w:r w:rsidR="009A6E8E" w:rsidRPr="00AC29F4">
        <w:rPr>
          <w:lang w:val="cs-CZ"/>
        </w:rPr>
        <w:t>pravidelně vyhodnocovat, zda v důsledku sdílení sítí nedochází ke</w:t>
      </w:r>
      <w:r w:rsidR="00CE7232" w:rsidRPr="00AC29F4">
        <w:rPr>
          <w:lang w:val="cs-CZ"/>
        </w:rPr>
        <w:t> </w:t>
      </w:r>
      <w:r w:rsidR="009A6E8E" w:rsidRPr="00AC29F4">
        <w:rPr>
          <w:lang w:val="cs-CZ"/>
        </w:rPr>
        <w:t>zpomalování v oblasti inovací a nasazování nových technologií</w:t>
      </w:r>
      <w:r w:rsidR="00376A6E" w:rsidRPr="00AC29F4">
        <w:rPr>
          <w:lang w:val="cs-CZ"/>
        </w:rPr>
        <w:t>.</w:t>
      </w:r>
    </w:p>
    <w:p w14:paraId="06153769" w14:textId="77777777" w:rsidR="00376A6E" w:rsidRPr="00475828" w:rsidRDefault="00376A6E" w:rsidP="005916AF">
      <w:pPr>
        <w:ind w:firstLine="567"/>
        <w:rPr>
          <w:lang w:val="cs-CZ"/>
        </w:rPr>
      </w:pPr>
      <w:r w:rsidRPr="00475828">
        <w:rPr>
          <w:lang w:val="cs-CZ"/>
        </w:rPr>
        <w:t>Jako spíše pozitivní pro toto sub-kritérium lze hodnotit skutečnost, že sdílení se</w:t>
      </w:r>
      <w:r w:rsidR="00CE7232">
        <w:rPr>
          <w:lang w:val="cs-CZ"/>
        </w:rPr>
        <w:t> </w:t>
      </w:r>
      <w:r w:rsidRPr="00475828">
        <w:rPr>
          <w:lang w:val="cs-CZ"/>
        </w:rPr>
        <w:t xml:space="preserve">neúčastní třetí síťový operátor, společnost Vodafone. </w:t>
      </w:r>
    </w:p>
    <w:p w14:paraId="76FB7688" w14:textId="77777777" w:rsidR="0088609D" w:rsidRPr="00475828" w:rsidRDefault="0088609D" w:rsidP="005916AF">
      <w:pPr>
        <w:ind w:firstLine="567"/>
        <w:rPr>
          <w:highlight w:val="yellow"/>
          <w:lang w:val="cs-CZ"/>
        </w:rPr>
      </w:pPr>
      <w:r w:rsidRPr="00475828">
        <w:rPr>
          <w:lang w:val="cs-CZ"/>
        </w:rPr>
        <w:t>Zvolený typ sdílení sítí tak může mít pozitivní dopad na optimalizaci využití vzácných zdrojů (v</w:t>
      </w:r>
      <w:r w:rsidR="00247FC2">
        <w:rPr>
          <w:lang w:val="cs-CZ"/>
        </w:rPr>
        <w:t> </w:t>
      </w:r>
      <w:r w:rsidRPr="00475828">
        <w:rPr>
          <w:lang w:val="cs-CZ"/>
        </w:rPr>
        <w:t xml:space="preserve">tomto případě pozemků, na kterých stojí stožáry s infrastrukturou), </w:t>
      </w:r>
      <w:r w:rsidR="00376A6E" w:rsidRPr="00475828">
        <w:rPr>
          <w:lang w:val="cs-CZ"/>
        </w:rPr>
        <w:t xml:space="preserve">pokrytí i obtížně dostupných lokalit a </w:t>
      </w:r>
      <w:r w:rsidRPr="00475828">
        <w:rPr>
          <w:lang w:val="cs-CZ"/>
        </w:rPr>
        <w:t>omezování zdvojování investic</w:t>
      </w:r>
      <w:r w:rsidR="00376A6E" w:rsidRPr="00475828">
        <w:rPr>
          <w:lang w:val="cs-CZ"/>
        </w:rPr>
        <w:t>, které nejsou kritické z pohledu možnosti odlišit maloobchodní služby.</w:t>
      </w:r>
      <w:r w:rsidRPr="00475828">
        <w:rPr>
          <w:lang w:val="cs-CZ"/>
        </w:rPr>
        <w:t xml:space="preserve"> </w:t>
      </w:r>
      <w:r w:rsidR="00376A6E" w:rsidRPr="00475828">
        <w:rPr>
          <w:lang w:val="cs-CZ"/>
        </w:rPr>
        <w:t>Výslednou službu tak lze poskytnout s nižšími náklady, tedy</w:t>
      </w:r>
      <w:r w:rsidR="00CE7232">
        <w:rPr>
          <w:lang w:val="cs-CZ"/>
        </w:rPr>
        <w:t> </w:t>
      </w:r>
      <w:r w:rsidR="00376A6E" w:rsidRPr="00475828">
        <w:rPr>
          <w:lang w:val="cs-CZ"/>
        </w:rPr>
        <w:t>efektivněji. To má pozitivní dopad i na životní prostředí (redukce počtu stožárů).</w:t>
      </w:r>
    </w:p>
    <w:p w14:paraId="27FF32DF" w14:textId="77777777" w:rsidR="00773633" w:rsidRPr="00475828" w:rsidRDefault="00FF5B55" w:rsidP="005916AF">
      <w:pPr>
        <w:pStyle w:val="Nadpis2"/>
        <w:keepNext w:val="0"/>
        <w:numPr>
          <w:ilvl w:val="1"/>
          <w:numId w:val="3"/>
        </w:numPr>
      </w:pPr>
      <w:bookmarkStart w:id="204" w:name="_Toc301423688"/>
      <w:r w:rsidRPr="00475828">
        <w:t>Výměna informací a riziko koluzivního jednání v dalších oblastech činnosti</w:t>
      </w:r>
      <w:bookmarkEnd w:id="204"/>
    </w:p>
    <w:p w14:paraId="044F6B68" w14:textId="77777777" w:rsidR="00FF5B55" w:rsidRPr="00475828" w:rsidRDefault="00FF5B55" w:rsidP="005916AF">
      <w:pPr>
        <w:pStyle w:val="Nadpis2"/>
        <w:keepNext w:val="0"/>
        <w:numPr>
          <w:ilvl w:val="2"/>
          <w:numId w:val="3"/>
        </w:numPr>
        <w:rPr>
          <w:b w:val="0"/>
          <w:i/>
        </w:rPr>
      </w:pPr>
      <w:bookmarkStart w:id="205" w:name="_Toc301423689"/>
      <w:r w:rsidRPr="00475828">
        <w:rPr>
          <w:b w:val="0"/>
          <w:i/>
        </w:rPr>
        <w:t>Rozhodovací praxe v</w:t>
      </w:r>
      <w:r w:rsidR="00D74649" w:rsidRPr="00475828">
        <w:rPr>
          <w:b w:val="0"/>
          <w:i/>
        </w:rPr>
        <w:t> </w:t>
      </w:r>
      <w:r w:rsidRPr="00475828">
        <w:rPr>
          <w:b w:val="0"/>
          <w:i/>
        </w:rPr>
        <w:t>EU</w:t>
      </w:r>
      <w:bookmarkEnd w:id="205"/>
    </w:p>
    <w:p w14:paraId="75D838D0" w14:textId="77777777" w:rsidR="00D74649" w:rsidRPr="00475828" w:rsidRDefault="00D74649" w:rsidP="005916AF">
      <w:pPr>
        <w:ind w:firstLine="567"/>
        <w:rPr>
          <w:lang w:val="cs-CZ"/>
        </w:rPr>
      </w:pPr>
      <w:r w:rsidRPr="00475828">
        <w:rPr>
          <w:lang w:val="cs-CZ"/>
        </w:rPr>
        <w:t>Při sjednávání dohod o sdílení sítí jakož i při samotném sdílení realizovaném na jejich základě může docházet k výměně komerčně významných či strategických informací, které</w:t>
      </w:r>
      <w:r w:rsidR="00CE7232">
        <w:rPr>
          <w:lang w:val="cs-CZ"/>
        </w:rPr>
        <w:t> </w:t>
      </w:r>
      <w:r w:rsidRPr="00475828">
        <w:rPr>
          <w:lang w:val="cs-CZ"/>
        </w:rPr>
        <w:t>na</w:t>
      </w:r>
      <w:r w:rsidR="00CE7232">
        <w:rPr>
          <w:lang w:val="cs-CZ"/>
        </w:rPr>
        <w:t> </w:t>
      </w:r>
      <w:r w:rsidRPr="00475828">
        <w:rPr>
          <w:lang w:val="cs-CZ"/>
        </w:rPr>
        <w:t xml:space="preserve">relevantním trhu nejsou obecně přístupné, a které tak mohou subjektům účastnícím se dohody poskytovat výhodu oproti ostatním soutěžitelům. Nelze vyloučit, že takové informace mohou být použity ke koluzivnímu jednání stran i v jiných oblastech jejich činnosti. </w:t>
      </w:r>
    </w:p>
    <w:p w14:paraId="03088112" w14:textId="77777777" w:rsidR="00D74649" w:rsidRPr="00475828" w:rsidRDefault="00D74649" w:rsidP="005916AF">
      <w:pPr>
        <w:ind w:firstLine="567"/>
        <w:rPr>
          <w:lang w:val="cs-CZ"/>
        </w:rPr>
      </w:pPr>
      <w:r w:rsidRPr="00475828">
        <w:rPr>
          <w:lang w:val="cs-CZ"/>
        </w:rPr>
        <w:t xml:space="preserve">Toto riziko bylo rovněž posuzováno dánským regulátorem v případě sdílení sítí společnostmi </w:t>
      </w:r>
      <w:proofErr w:type="spellStart"/>
      <w:r w:rsidRPr="00475828">
        <w:rPr>
          <w:lang w:val="cs-CZ"/>
        </w:rPr>
        <w:t>TeliaSonera</w:t>
      </w:r>
      <w:proofErr w:type="spellEnd"/>
      <w:r w:rsidRPr="00475828">
        <w:rPr>
          <w:lang w:val="cs-CZ"/>
        </w:rPr>
        <w:t xml:space="preserve"> a </w:t>
      </w:r>
      <w:proofErr w:type="spellStart"/>
      <w:r w:rsidRPr="00475828">
        <w:rPr>
          <w:lang w:val="cs-CZ"/>
        </w:rPr>
        <w:t>Telenor</w:t>
      </w:r>
      <w:proofErr w:type="spellEnd"/>
      <w:r w:rsidRPr="00475828">
        <w:rPr>
          <w:lang w:val="cs-CZ"/>
        </w:rPr>
        <w:t>.</w:t>
      </w:r>
      <w:r w:rsidRPr="00475828">
        <w:rPr>
          <w:vertAlign w:val="superscript"/>
          <w:lang w:val="cs-CZ"/>
        </w:rPr>
        <w:footnoteReference w:id="132"/>
      </w:r>
      <w:r w:rsidRPr="00475828">
        <w:rPr>
          <w:vertAlign w:val="superscript"/>
          <w:lang w:val="cs-CZ"/>
        </w:rPr>
        <w:t xml:space="preserve"> </w:t>
      </w:r>
      <w:r w:rsidRPr="00475828">
        <w:rPr>
          <w:lang w:val="cs-CZ"/>
        </w:rPr>
        <w:t>Ke snížení rizika byl dle veřejně dostupných zdrojů v tomto případě ze strany soutěžitelů převzat závazek omezení informací, které budou stranám vzájemně přístupné.</w:t>
      </w:r>
    </w:p>
    <w:p w14:paraId="784C4C9A" w14:textId="77777777" w:rsidR="000E3158" w:rsidRPr="00475828" w:rsidRDefault="000E3158" w:rsidP="005916AF">
      <w:pPr>
        <w:ind w:firstLine="567"/>
        <w:rPr>
          <w:lang w:val="cs-CZ"/>
        </w:rPr>
      </w:pPr>
      <w:r w:rsidRPr="00475828">
        <w:rPr>
          <w:lang w:val="cs-CZ"/>
        </w:rPr>
        <w:t xml:space="preserve">Z pohledu francouzského </w:t>
      </w:r>
      <w:r w:rsidRPr="00475828">
        <w:rPr>
          <w:i/>
          <w:lang w:val="cs-CZ"/>
        </w:rPr>
        <w:t>ex post</w:t>
      </w:r>
      <w:r w:rsidRPr="00475828">
        <w:rPr>
          <w:lang w:val="cs-CZ"/>
        </w:rPr>
        <w:t xml:space="preserve"> regulátora</w:t>
      </w:r>
      <w:r w:rsidR="00CE7232">
        <w:rPr>
          <w:lang w:val="cs-CZ"/>
        </w:rPr>
        <w:t xml:space="preserve"> AC</w:t>
      </w:r>
      <w:r w:rsidRPr="00475828">
        <w:rPr>
          <w:lang w:val="cs-CZ"/>
        </w:rPr>
        <w:t xml:space="preserve"> jde při sdílení sítí o</w:t>
      </w:r>
      <w:r w:rsidR="00247FC2">
        <w:rPr>
          <w:lang w:val="cs-CZ"/>
        </w:rPr>
        <w:t> </w:t>
      </w:r>
      <w:r w:rsidRPr="00475828">
        <w:rPr>
          <w:lang w:val="cs-CZ"/>
        </w:rPr>
        <w:t>výměnu informací citlivého rázu, zejména proto, že jde o specifické (neanonymizované a</w:t>
      </w:r>
      <w:r w:rsidR="00247FC2">
        <w:rPr>
          <w:lang w:val="cs-CZ"/>
        </w:rPr>
        <w:t> </w:t>
      </w:r>
      <w:r w:rsidRPr="00475828">
        <w:rPr>
          <w:lang w:val="cs-CZ"/>
        </w:rPr>
        <w:t>neagregované) informace, které pocházejí z nedávné doby. Tyto skutečnosti považuje francouzský úřad za</w:t>
      </w:r>
      <w:r w:rsidR="00CE7232">
        <w:rPr>
          <w:lang w:val="cs-CZ"/>
        </w:rPr>
        <w:t> </w:t>
      </w:r>
      <w:r w:rsidRPr="00475828">
        <w:rPr>
          <w:lang w:val="cs-CZ"/>
        </w:rPr>
        <w:t>přitěžující a nastiňuje, že možným řešení</w:t>
      </w:r>
      <w:r w:rsidR="009A62F2" w:rsidRPr="00475828">
        <w:rPr>
          <w:lang w:val="cs-CZ"/>
        </w:rPr>
        <w:t>m</w:t>
      </w:r>
      <w:r w:rsidRPr="00475828">
        <w:rPr>
          <w:lang w:val="cs-CZ"/>
        </w:rPr>
        <w:t xml:space="preserve"> je vytvořit společnou dceřinou společ</w:t>
      </w:r>
      <w:r w:rsidR="009A62F2" w:rsidRPr="00475828">
        <w:rPr>
          <w:lang w:val="cs-CZ"/>
        </w:rPr>
        <w:t>nost</w:t>
      </w:r>
      <w:r w:rsidRPr="00475828">
        <w:rPr>
          <w:lang w:val="cs-CZ"/>
        </w:rPr>
        <w:t xml:space="preserve"> operátorů, kteří sdílejí sítě. Doporučuje, aby v takovém případě byla přijata opatření</w:t>
      </w:r>
      <w:r w:rsidR="00774825" w:rsidRPr="00475828">
        <w:rPr>
          <w:lang w:val="cs-CZ"/>
        </w:rPr>
        <w:t xml:space="preserve"> (zejména organizačního rázu, která nicméně nejsou blíže popsána)</w:t>
      </w:r>
      <w:r w:rsidRPr="00475828">
        <w:rPr>
          <w:lang w:val="cs-CZ"/>
        </w:rPr>
        <w:t>, která zabrání vynášení informací ze</w:t>
      </w:r>
      <w:r w:rsidR="00CE7232">
        <w:rPr>
          <w:lang w:val="cs-CZ"/>
        </w:rPr>
        <w:t> </w:t>
      </w:r>
      <w:r w:rsidRPr="00475828">
        <w:rPr>
          <w:lang w:val="cs-CZ"/>
        </w:rPr>
        <w:t>společné dceřiné společnosti do mateřských společností, a nebude tak umožněno protisoutěžní chování operátorů založené na nedovolené výměně informací.</w:t>
      </w:r>
      <w:r w:rsidRPr="00475828">
        <w:rPr>
          <w:rStyle w:val="Znakapoznpodarou"/>
          <w:lang w:val="cs-CZ"/>
        </w:rPr>
        <w:footnoteReference w:id="133"/>
      </w:r>
    </w:p>
    <w:p w14:paraId="2223B193" w14:textId="77777777" w:rsidR="00FF5B55" w:rsidRPr="00475828" w:rsidRDefault="00FF5B55" w:rsidP="005916AF">
      <w:pPr>
        <w:pStyle w:val="Nadpis2"/>
        <w:keepNext w:val="0"/>
        <w:numPr>
          <w:ilvl w:val="2"/>
          <w:numId w:val="3"/>
        </w:numPr>
        <w:rPr>
          <w:b w:val="0"/>
          <w:i/>
        </w:rPr>
      </w:pPr>
      <w:bookmarkStart w:id="206" w:name="_Toc301423690"/>
      <w:r w:rsidRPr="00475828">
        <w:rPr>
          <w:b w:val="0"/>
          <w:i/>
        </w:rPr>
        <w:t xml:space="preserve">Podmínky sdílení sítí </w:t>
      </w:r>
      <w:r w:rsidR="009E6E2B" w:rsidRPr="00475828">
        <w:rPr>
          <w:b w:val="0"/>
          <w:i/>
        </w:rPr>
        <w:t xml:space="preserve">2G a 3G </w:t>
      </w:r>
      <w:r w:rsidRPr="00475828">
        <w:rPr>
          <w:b w:val="0"/>
          <w:i/>
        </w:rPr>
        <w:t>v České republice</w:t>
      </w:r>
      <w:bookmarkEnd w:id="206"/>
    </w:p>
    <w:p w14:paraId="4E602819" w14:textId="77777777" w:rsidR="00BF7CFD" w:rsidRDefault="00BF7CFD" w:rsidP="005916AF">
      <w:pPr>
        <w:ind w:firstLine="567"/>
        <w:rPr>
          <w:rFonts w:cs="Arial"/>
          <w:highlight w:val="yellow"/>
          <w:lang w:val="cs-CZ"/>
        </w:rPr>
      </w:pPr>
      <w:r>
        <w:rPr>
          <w:rFonts w:cs="Arial"/>
          <w:highlight w:val="yellow"/>
          <w:lang w:val="cs-CZ"/>
        </w:rPr>
        <w:t>[</w:t>
      </w:r>
      <w:r w:rsidRPr="00431AA8">
        <w:rPr>
          <w:rFonts w:cs="Arial"/>
          <w:i/>
          <w:highlight w:val="yellow"/>
          <w:lang w:val="cs-CZ"/>
        </w:rPr>
        <w:t>Obchodní tajemství</w:t>
      </w:r>
      <w:r>
        <w:rPr>
          <w:rFonts w:cs="Arial"/>
          <w:highlight w:val="yellow"/>
          <w:lang w:val="cs-CZ"/>
        </w:rPr>
        <w:t>]</w:t>
      </w:r>
    </w:p>
    <w:p w14:paraId="2AA4DE46" w14:textId="77777777" w:rsidR="00D74649" w:rsidRPr="00475828" w:rsidRDefault="00E43CE1" w:rsidP="005916AF">
      <w:pPr>
        <w:ind w:firstLine="567"/>
        <w:rPr>
          <w:lang w:val="cs-CZ"/>
        </w:rPr>
      </w:pPr>
      <w:r w:rsidRPr="00475828">
        <w:rPr>
          <w:lang w:val="cs-CZ"/>
        </w:rPr>
        <w:t xml:space="preserve">Úřad </w:t>
      </w:r>
      <w:r w:rsidR="00D74649" w:rsidRPr="00475828">
        <w:rPr>
          <w:lang w:val="cs-CZ"/>
        </w:rPr>
        <w:t xml:space="preserve">se v této věci v listopadu 2014 obrátil na </w:t>
      </w:r>
      <w:r w:rsidR="00FA76A2" w:rsidRPr="00475828">
        <w:rPr>
          <w:lang w:val="cs-CZ"/>
        </w:rPr>
        <w:t>TMCZ</w:t>
      </w:r>
      <w:r w:rsidR="00CE7232">
        <w:rPr>
          <w:lang w:val="cs-CZ"/>
        </w:rPr>
        <w:t xml:space="preserve"> a</w:t>
      </w:r>
      <w:r w:rsidR="00CE7232" w:rsidRPr="00475828">
        <w:rPr>
          <w:lang w:val="cs-CZ"/>
        </w:rPr>
        <w:t xml:space="preserve"> </w:t>
      </w:r>
      <w:r w:rsidR="00D74649" w:rsidRPr="00475828">
        <w:rPr>
          <w:lang w:val="cs-CZ"/>
        </w:rPr>
        <w:t xml:space="preserve">O2 s dotazy, jejichž účelem mělo být </w:t>
      </w:r>
      <w:r w:rsidR="00866AD6" w:rsidRPr="00475828">
        <w:rPr>
          <w:lang w:val="cs-CZ"/>
        </w:rPr>
        <w:t xml:space="preserve">mimo jiné </w:t>
      </w:r>
      <w:r w:rsidR="00D74649" w:rsidRPr="00475828">
        <w:rPr>
          <w:lang w:val="cs-CZ"/>
        </w:rPr>
        <w:t xml:space="preserve">zjištění, jakým způsobem </w:t>
      </w:r>
      <w:r w:rsidR="00866AD6" w:rsidRPr="00475828">
        <w:rPr>
          <w:lang w:val="cs-CZ"/>
        </w:rPr>
        <w:t xml:space="preserve">je zajištěno </w:t>
      </w:r>
      <w:r w:rsidR="00D74649" w:rsidRPr="00475828">
        <w:rPr>
          <w:lang w:val="cs-CZ"/>
        </w:rPr>
        <w:t>sdílení informací a ochrana důvěrných informací. Protože však ne</w:t>
      </w:r>
      <w:r w:rsidR="00866AD6" w:rsidRPr="00475828">
        <w:rPr>
          <w:lang w:val="cs-CZ"/>
        </w:rPr>
        <w:t xml:space="preserve">došlo k dohodě s jedním z operátorů, </w:t>
      </w:r>
      <w:r w:rsidRPr="00475828">
        <w:rPr>
          <w:lang w:val="cs-CZ"/>
        </w:rPr>
        <w:t xml:space="preserve">Úřad </w:t>
      </w:r>
      <w:r w:rsidR="00866AD6" w:rsidRPr="00475828">
        <w:rPr>
          <w:lang w:val="cs-CZ"/>
        </w:rPr>
        <w:t>konkrétní odpovědi v této věci od oslovených subjektů neobdržel.</w:t>
      </w:r>
    </w:p>
    <w:p w14:paraId="11EFF135" w14:textId="77777777" w:rsidR="00FF5B55" w:rsidRPr="00475828" w:rsidRDefault="00FF5B55" w:rsidP="005916AF">
      <w:pPr>
        <w:pStyle w:val="Nadpis2"/>
        <w:keepNext w:val="0"/>
        <w:numPr>
          <w:ilvl w:val="2"/>
          <w:numId w:val="3"/>
        </w:numPr>
        <w:rPr>
          <w:b w:val="0"/>
          <w:i/>
        </w:rPr>
      </w:pPr>
      <w:bookmarkStart w:id="207" w:name="_Toc301423691"/>
      <w:r w:rsidRPr="00475828">
        <w:rPr>
          <w:b w:val="0"/>
          <w:i/>
        </w:rPr>
        <w:t xml:space="preserve">Vyhodnocení dopadů </w:t>
      </w:r>
      <w:r w:rsidR="00112806" w:rsidRPr="00475828">
        <w:rPr>
          <w:b w:val="0"/>
          <w:i/>
        </w:rPr>
        <w:t xml:space="preserve">sdílení sítí </w:t>
      </w:r>
      <w:r w:rsidRPr="00475828">
        <w:rPr>
          <w:b w:val="0"/>
          <w:i/>
        </w:rPr>
        <w:t>2G a 3G v České republice</w:t>
      </w:r>
      <w:bookmarkEnd w:id="207"/>
      <w:r w:rsidRPr="00475828">
        <w:rPr>
          <w:b w:val="0"/>
          <w:i/>
        </w:rPr>
        <w:t xml:space="preserve"> </w:t>
      </w:r>
    </w:p>
    <w:p w14:paraId="3D05468F" w14:textId="52318452" w:rsidR="000E3158" w:rsidRPr="00475828" w:rsidRDefault="00431AA8" w:rsidP="005916AF">
      <w:pPr>
        <w:ind w:firstLine="567"/>
        <w:rPr>
          <w:lang w:val="cs-CZ"/>
        </w:rPr>
      </w:pPr>
      <w:r>
        <w:rPr>
          <w:lang w:val="cs-CZ"/>
        </w:rPr>
        <w:t>V</w:t>
      </w:r>
      <w:r w:rsidRPr="00475828">
        <w:rPr>
          <w:lang w:val="cs-CZ"/>
        </w:rPr>
        <w:t> </w:t>
      </w:r>
      <w:r w:rsidR="00866AD6" w:rsidRPr="00475828">
        <w:rPr>
          <w:lang w:val="cs-CZ"/>
        </w:rPr>
        <w:t xml:space="preserve">současné chvíli není zcela </w:t>
      </w:r>
      <w:r w:rsidR="00CE7232">
        <w:rPr>
          <w:lang w:val="cs-CZ"/>
        </w:rPr>
        <w:t>zjevné</w:t>
      </w:r>
      <w:r w:rsidR="00866AD6" w:rsidRPr="00475828">
        <w:rPr>
          <w:lang w:val="cs-CZ"/>
        </w:rPr>
        <w:t xml:space="preserve">, jak bude mezi </w:t>
      </w:r>
      <w:r w:rsidR="00FA76A2" w:rsidRPr="00475828">
        <w:rPr>
          <w:lang w:val="cs-CZ"/>
        </w:rPr>
        <w:t>TMCZ</w:t>
      </w:r>
      <w:r w:rsidR="00866AD6" w:rsidRPr="00475828">
        <w:rPr>
          <w:lang w:val="cs-CZ"/>
        </w:rPr>
        <w:t xml:space="preserve"> a O2 zajištěno, aby nedocházelo ke</w:t>
      </w:r>
      <w:r w:rsidR="00CE7232">
        <w:rPr>
          <w:lang w:val="cs-CZ"/>
        </w:rPr>
        <w:t> </w:t>
      </w:r>
      <w:r w:rsidR="00866AD6" w:rsidRPr="00475828">
        <w:rPr>
          <w:lang w:val="cs-CZ"/>
        </w:rPr>
        <w:t>vzájemnému zpřístupňování takových informací, jejichž výměna by mohla vést ke</w:t>
      </w:r>
      <w:r w:rsidR="00CE7232">
        <w:rPr>
          <w:lang w:val="cs-CZ"/>
        </w:rPr>
        <w:t> </w:t>
      </w:r>
      <w:r w:rsidR="00866AD6" w:rsidRPr="00475828">
        <w:rPr>
          <w:lang w:val="cs-CZ"/>
        </w:rPr>
        <w:t>koluzivnímu jednání a</w:t>
      </w:r>
      <w:r w:rsidR="00247FC2">
        <w:rPr>
          <w:lang w:val="cs-CZ"/>
        </w:rPr>
        <w:t> </w:t>
      </w:r>
      <w:r w:rsidR="00866AD6" w:rsidRPr="00475828">
        <w:rPr>
          <w:lang w:val="cs-CZ"/>
        </w:rPr>
        <w:t xml:space="preserve">mohla by tak být riziková ze </w:t>
      </w:r>
      <w:proofErr w:type="spellStart"/>
      <w:r w:rsidR="00866AD6" w:rsidRPr="00475828">
        <w:rPr>
          <w:lang w:val="cs-CZ"/>
        </w:rPr>
        <w:t>soutěžněprávního</w:t>
      </w:r>
      <w:proofErr w:type="spellEnd"/>
      <w:r w:rsidR="00866AD6" w:rsidRPr="00475828">
        <w:rPr>
          <w:lang w:val="cs-CZ"/>
        </w:rPr>
        <w:t xml:space="preserve"> pohledu. </w:t>
      </w:r>
      <w:r w:rsidR="00FA76A2" w:rsidRPr="00475828">
        <w:rPr>
          <w:lang w:val="cs-CZ"/>
        </w:rPr>
        <w:t>TMCZ</w:t>
      </w:r>
      <w:r w:rsidR="00866AD6" w:rsidRPr="00475828">
        <w:rPr>
          <w:lang w:val="cs-CZ"/>
        </w:rPr>
        <w:t xml:space="preserve"> a O2 při diskuzích s </w:t>
      </w:r>
      <w:r w:rsidR="00E43CE1" w:rsidRPr="00475828">
        <w:rPr>
          <w:lang w:val="cs-CZ"/>
        </w:rPr>
        <w:t xml:space="preserve">Úřadem </w:t>
      </w:r>
      <w:r w:rsidR="00866AD6" w:rsidRPr="00475828">
        <w:rPr>
          <w:lang w:val="cs-CZ"/>
        </w:rPr>
        <w:t xml:space="preserve">deklarovali, že vysokou míru opatrnosti při výměně informací je nutné zachovávat z důvodu ochrany obchodních zájmů každého z operátorů. </w:t>
      </w:r>
    </w:p>
    <w:p w14:paraId="0E70C0A8" w14:textId="77777777" w:rsidR="00711171" w:rsidRPr="00475828" w:rsidRDefault="000E3158" w:rsidP="005916AF">
      <w:pPr>
        <w:ind w:firstLine="567"/>
        <w:rPr>
          <w:lang w:val="cs-CZ"/>
        </w:rPr>
      </w:pPr>
      <w:r w:rsidRPr="00475828">
        <w:rPr>
          <w:lang w:val="cs-CZ"/>
        </w:rPr>
        <w:t xml:space="preserve">Jak je patrné z rozhodovací praxe v jiných členských státech EU, </w:t>
      </w:r>
      <w:r w:rsidR="00711171" w:rsidRPr="00475828">
        <w:rPr>
          <w:lang w:val="cs-CZ"/>
        </w:rPr>
        <w:t>je nutné výměnu informací mezi sdílejícími operátory pečlivě regulovat, ať již ve formě striktního (negativního či</w:t>
      </w:r>
      <w:r w:rsidR="00CE7232">
        <w:rPr>
          <w:lang w:val="cs-CZ"/>
        </w:rPr>
        <w:t> </w:t>
      </w:r>
      <w:r w:rsidR="00711171" w:rsidRPr="00475828">
        <w:rPr>
          <w:lang w:val="cs-CZ"/>
        </w:rPr>
        <w:t>pozitivního) vymezení skupin informací, které si strany (ne)mohou vyměňovat</w:t>
      </w:r>
      <w:r w:rsidR="00D47992" w:rsidRPr="00475828">
        <w:rPr>
          <w:lang w:val="cs-CZ"/>
        </w:rPr>
        <w:t>,</w:t>
      </w:r>
      <w:r w:rsidR="00711171" w:rsidRPr="00475828">
        <w:rPr>
          <w:lang w:val="cs-CZ"/>
        </w:rPr>
        <w:t xml:space="preserve"> nebo ve formě požadavku na vytvoření společné dceřiné společnosti, ze které nebudou předmětné informace vynášeny do společností mateřských.</w:t>
      </w:r>
    </w:p>
    <w:p w14:paraId="169BA54E" w14:textId="77777777" w:rsidR="00D74649" w:rsidRPr="00475828" w:rsidRDefault="00711171" w:rsidP="005916AF">
      <w:pPr>
        <w:ind w:firstLine="567"/>
        <w:rPr>
          <w:lang w:val="cs-CZ"/>
        </w:rPr>
      </w:pPr>
      <w:r w:rsidRPr="00475828">
        <w:rPr>
          <w:lang w:val="cs-CZ"/>
        </w:rPr>
        <w:t xml:space="preserve">V současné chvíli nemá </w:t>
      </w:r>
      <w:r w:rsidR="00E43CE1" w:rsidRPr="00475828">
        <w:rPr>
          <w:lang w:val="cs-CZ"/>
        </w:rPr>
        <w:t xml:space="preserve">Úřad </w:t>
      </w:r>
      <w:r w:rsidRPr="00475828">
        <w:rPr>
          <w:lang w:val="cs-CZ"/>
        </w:rPr>
        <w:t>indikace, že by docházelo k výměně informací, která by mohla vyústit v</w:t>
      </w:r>
      <w:r w:rsidR="00D47992" w:rsidRPr="00475828">
        <w:rPr>
          <w:lang w:val="cs-CZ"/>
        </w:rPr>
        <w:t xml:space="preserve"> negativní </w:t>
      </w:r>
      <w:proofErr w:type="spellStart"/>
      <w:r w:rsidR="00D47992" w:rsidRPr="00475828">
        <w:rPr>
          <w:lang w:val="cs-CZ"/>
        </w:rPr>
        <w:t>soutěžněprávní</w:t>
      </w:r>
      <w:proofErr w:type="spellEnd"/>
      <w:r w:rsidR="00D47992" w:rsidRPr="00475828">
        <w:rPr>
          <w:lang w:val="cs-CZ"/>
        </w:rPr>
        <w:t xml:space="preserve"> dopady</w:t>
      </w:r>
      <w:r w:rsidRPr="00475828">
        <w:rPr>
          <w:lang w:val="cs-CZ"/>
        </w:rPr>
        <w:t xml:space="preserve">, a v tomto ohledu tak nevidí bezprostřední riziko narušení hospodářské soutěže. </w:t>
      </w:r>
      <w:r w:rsidR="00E43CE1" w:rsidRPr="00475828">
        <w:rPr>
          <w:lang w:val="cs-CZ"/>
        </w:rPr>
        <w:t xml:space="preserve">Úřad </w:t>
      </w:r>
      <w:r w:rsidRPr="00475828">
        <w:rPr>
          <w:lang w:val="cs-CZ"/>
        </w:rPr>
        <w:t>nicméně deklaruje, že v rozsahu své působnosti a</w:t>
      </w:r>
      <w:r w:rsidR="00247FC2">
        <w:rPr>
          <w:lang w:val="cs-CZ"/>
        </w:rPr>
        <w:t> </w:t>
      </w:r>
      <w:r w:rsidRPr="00475828">
        <w:rPr>
          <w:lang w:val="cs-CZ"/>
        </w:rPr>
        <w:t>pravomocí a v duchu Memoranda o spolupráci mezi Úřadem pro ochranu hospodářské soutěže a Českým telekomunikačním úřadem</w:t>
      </w:r>
      <w:r w:rsidRPr="00475828">
        <w:rPr>
          <w:rStyle w:val="Znakapoznpodarou"/>
          <w:lang w:val="cs-CZ"/>
        </w:rPr>
        <w:footnoteReference w:id="134"/>
      </w:r>
      <w:r w:rsidRPr="00475828">
        <w:rPr>
          <w:lang w:val="cs-CZ"/>
        </w:rPr>
        <w:t xml:space="preserve"> bude nadále aktivity operátorů v oblasti výměny informací monitorovat.</w:t>
      </w:r>
    </w:p>
    <w:p w14:paraId="6C21649F" w14:textId="3FA38ECC" w:rsidR="008E06B9" w:rsidRPr="002E7871" w:rsidRDefault="008E06B9" w:rsidP="005916AF">
      <w:pPr>
        <w:ind w:firstLine="567"/>
        <w:rPr>
          <w:lang w:val="cs-CZ"/>
        </w:rPr>
      </w:pPr>
      <w:r w:rsidRPr="00475828">
        <w:rPr>
          <w:lang w:val="cs-CZ"/>
        </w:rPr>
        <w:t>Vzhledem ke změnám v korporátní struktuře O2, které nab</w:t>
      </w:r>
      <w:r w:rsidR="005F4210">
        <w:rPr>
          <w:lang w:val="cs-CZ"/>
        </w:rPr>
        <w:t>yly</w:t>
      </w:r>
      <w:r w:rsidRPr="00475828">
        <w:rPr>
          <w:lang w:val="cs-CZ"/>
        </w:rPr>
        <w:t xml:space="preserve"> účinnosti od 1. června 2015, lze konstatovat, že se </w:t>
      </w:r>
      <w:r w:rsidR="00CE7232">
        <w:rPr>
          <w:lang w:val="cs-CZ"/>
        </w:rPr>
        <w:t>z</w:t>
      </w:r>
      <w:r w:rsidRPr="00475828">
        <w:rPr>
          <w:lang w:val="cs-CZ"/>
        </w:rPr>
        <w:t xml:space="preserve">mění i míra rizika související s uzavřením popisovaných smluv mezi TMCZ a O2 s ohledem na výměnu informací. </w:t>
      </w:r>
      <w:r w:rsidRPr="002E7871">
        <w:rPr>
          <w:lang w:val="cs-CZ"/>
        </w:rPr>
        <w:t>O2 zamýšl</w:t>
      </w:r>
      <w:r w:rsidR="007C2389" w:rsidRPr="002E7871">
        <w:rPr>
          <w:lang w:val="cs-CZ"/>
        </w:rPr>
        <w:t>el</w:t>
      </w:r>
      <w:r w:rsidRPr="002E7871">
        <w:rPr>
          <w:lang w:val="cs-CZ"/>
        </w:rPr>
        <w:t xml:space="preserve"> dle informací sdělených Úřadu na schůzce se zástupci O2 dne 11. března 2015 vydělit veškerou infrastrukturu (včetně přístupové části mobilních sítí, avšak nikoli ústředny) do vlastnictví sesterské společnosti pod obchodní firmou Česká telekomunikační infrastruktura (</w:t>
      </w:r>
      <w:proofErr w:type="spellStart"/>
      <w:r w:rsidRPr="002E7871">
        <w:rPr>
          <w:lang w:val="cs-CZ"/>
        </w:rPr>
        <w:t>Cetin</w:t>
      </w:r>
      <w:proofErr w:type="spellEnd"/>
      <w:r w:rsidRPr="002E7871">
        <w:rPr>
          <w:lang w:val="cs-CZ"/>
        </w:rPr>
        <w:t>)</w:t>
      </w:r>
      <w:r w:rsidR="005F4210" w:rsidRPr="002E7871">
        <w:rPr>
          <w:lang w:val="cs-CZ"/>
        </w:rPr>
        <w:t xml:space="preserve"> a dle informací Úřadu k takovému vydělení skutečně k 1. červnu 2015 došlo</w:t>
      </w:r>
      <w:r w:rsidRPr="002E7871">
        <w:rPr>
          <w:lang w:val="cs-CZ"/>
        </w:rPr>
        <w:t>. Frekvence přidělené ve výběrových řízeních nadále zůsta</w:t>
      </w:r>
      <w:r w:rsidR="005F4210" w:rsidRPr="002E7871">
        <w:rPr>
          <w:lang w:val="cs-CZ"/>
        </w:rPr>
        <w:t>ly</w:t>
      </w:r>
      <w:r w:rsidRPr="002E7871">
        <w:rPr>
          <w:lang w:val="cs-CZ"/>
        </w:rPr>
        <w:t xml:space="preserve"> v držení O2. Informace poskytnuté O2 během diskuzí s Úřadem naznačují, že není vyloučeno, že vlastnická struktura </w:t>
      </w:r>
      <w:proofErr w:type="spellStart"/>
      <w:r w:rsidRPr="002E7871">
        <w:rPr>
          <w:lang w:val="cs-CZ"/>
        </w:rPr>
        <w:t>Cetin</w:t>
      </w:r>
      <w:proofErr w:type="spellEnd"/>
      <w:r w:rsidRPr="002E7871">
        <w:rPr>
          <w:lang w:val="cs-CZ"/>
        </w:rPr>
        <w:t xml:space="preserve"> se bude v průběhu času měnit odlišným způsobem než u sesterské společnosti O2.</w:t>
      </w:r>
      <w:r w:rsidR="00B5168E" w:rsidRPr="002E7871">
        <w:rPr>
          <w:lang w:val="cs-CZ"/>
        </w:rPr>
        <w:t xml:space="preserve"> Navíc dle informací má mít </w:t>
      </w:r>
      <w:proofErr w:type="spellStart"/>
      <w:r w:rsidR="00B5168E" w:rsidRPr="002E7871">
        <w:rPr>
          <w:lang w:val="cs-CZ"/>
        </w:rPr>
        <w:t>Cetin</w:t>
      </w:r>
      <w:proofErr w:type="spellEnd"/>
      <w:r w:rsidR="00B5168E" w:rsidRPr="002E7871">
        <w:rPr>
          <w:lang w:val="cs-CZ"/>
        </w:rPr>
        <w:t xml:space="preserve"> a O2 oddělené manažerské a obchodní vedení.</w:t>
      </w:r>
    </w:p>
    <w:p w14:paraId="581E05F2" w14:textId="3463B7C1" w:rsidR="003C6D2C" w:rsidRPr="00475828" w:rsidRDefault="008E06B9" w:rsidP="005916AF">
      <w:pPr>
        <w:ind w:firstLine="567"/>
        <w:rPr>
          <w:lang w:val="cs-CZ"/>
        </w:rPr>
      </w:pPr>
      <w:r w:rsidRPr="002E7871">
        <w:rPr>
          <w:lang w:val="cs-CZ"/>
        </w:rPr>
        <w:t>S</w:t>
      </w:r>
      <w:r w:rsidR="00AC6783" w:rsidRPr="002E7871">
        <w:rPr>
          <w:lang w:val="cs-CZ"/>
        </w:rPr>
        <w:t> </w:t>
      </w:r>
      <w:r w:rsidRPr="002E7871">
        <w:rPr>
          <w:lang w:val="cs-CZ"/>
        </w:rPr>
        <w:t>rozdělením O2 do</w:t>
      </w:r>
      <w:r w:rsidR="005F4210" w:rsidRPr="002E7871">
        <w:rPr>
          <w:lang w:val="cs-CZ"/>
        </w:rPr>
        <w:t>šlo</w:t>
      </w:r>
      <w:r w:rsidRPr="002E7871">
        <w:rPr>
          <w:lang w:val="cs-CZ"/>
        </w:rPr>
        <w:t xml:space="preserve"> také k přesunutí části zaměstnanců do </w:t>
      </w:r>
      <w:r w:rsidR="005F4210" w:rsidRPr="002E7871">
        <w:rPr>
          <w:lang w:val="cs-CZ"/>
        </w:rPr>
        <w:t xml:space="preserve">sesterské </w:t>
      </w:r>
      <w:r w:rsidRPr="002E7871">
        <w:rPr>
          <w:lang w:val="cs-CZ"/>
        </w:rPr>
        <w:t>společnosti a</w:t>
      </w:r>
      <w:r w:rsidR="0082201B" w:rsidRPr="002E7871">
        <w:rPr>
          <w:lang w:val="cs-CZ"/>
        </w:rPr>
        <w:t> </w:t>
      </w:r>
      <w:r w:rsidRPr="002E7871">
        <w:rPr>
          <w:lang w:val="cs-CZ"/>
        </w:rPr>
        <w:t>prakticky budou obě společnosti vykonávat velmi odlišné činnosti. Tyto skutečnosti lze považovat za určitou bariéru pro výměnu informací mezi „operátorskou“ společností O2 a</w:t>
      </w:r>
      <w:r w:rsidR="0082201B" w:rsidRPr="002E7871">
        <w:rPr>
          <w:lang w:val="cs-CZ"/>
        </w:rPr>
        <w:t> </w:t>
      </w:r>
      <w:r w:rsidRPr="002E7871">
        <w:rPr>
          <w:lang w:val="cs-CZ"/>
        </w:rPr>
        <w:t xml:space="preserve">„infrastrukturní“ společností </w:t>
      </w:r>
      <w:proofErr w:type="spellStart"/>
      <w:r w:rsidRPr="002E7871">
        <w:rPr>
          <w:lang w:val="cs-CZ"/>
        </w:rPr>
        <w:t>Cetin</w:t>
      </w:r>
      <w:proofErr w:type="spellEnd"/>
      <w:r w:rsidRPr="002E7871">
        <w:rPr>
          <w:lang w:val="cs-CZ"/>
        </w:rPr>
        <w:t>. I s ohledem na</w:t>
      </w:r>
      <w:r w:rsidR="00B5168E" w:rsidRPr="002E7871">
        <w:rPr>
          <w:lang w:val="cs-CZ"/>
        </w:rPr>
        <w:t xml:space="preserve"> oddělené manažerské vedení (vyplývající z obchodního rejstříku a veřejných zdrojů) a</w:t>
      </w:r>
      <w:r w:rsidRPr="002E7871">
        <w:rPr>
          <w:lang w:val="cs-CZ"/>
        </w:rPr>
        <w:t xml:space="preserve"> možné proměny vlastnické struktury lze očekávat, že překážky pro výměnu informací nebudou pouze formální, ale skutečně budou bránit nežádoucí výměně informací. Zatímco O2 tak zůstane </w:t>
      </w:r>
      <w:r w:rsidR="00B15375" w:rsidRPr="002E7871">
        <w:rPr>
          <w:lang w:val="cs-CZ"/>
        </w:rPr>
        <w:t xml:space="preserve">držitelem licencí a zákazníkem </w:t>
      </w:r>
      <w:proofErr w:type="spellStart"/>
      <w:r w:rsidR="00B15375" w:rsidRPr="002E7871">
        <w:rPr>
          <w:lang w:val="cs-CZ"/>
        </w:rPr>
        <w:t>Cetinu</w:t>
      </w:r>
      <w:proofErr w:type="spellEnd"/>
      <w:r w:rsidRPr="002E7871">
        <w:rPr>
          <w:lang w:val="cs-CZ"/>
        </w:rPr>
        <w:t xml:space="preserve">, předmětná infrastruktura bude nově v držení společnosti </w:t>
      </w:r>
      <w:proofErr w:type="spellStart"/>
      <w:r w:rsidRPr="002E7871">
        <w:rPr>
          <w:lang w:val="cs-CZ"/>
        </w:rPr>
        <w:t>Cetin</w:t>
      </w:r>
      <w:proofErr w:type="spellEnd"/>
      <w:r w:rsidR="00B15375" w:rsidRPr="002E7871">
        <w:rPr>
          <w:lang w:val="cs-CZ"/>
        </w:rPr>
        <w:t xml:space="preserve">, </w:t>
      </w:r>
      <w:r w:rsidR="00D73AE2">
        <w:rPr>
          <w:lang w:val="cs-CZ"/>
        </w:rPr>
        <w:t>která je také smluvní stranou u </w:t>
      </w:r>
      <w:r w:rsidR="00B15375" w:rsidRPr="002E7871">
        <w:rPr>
          <w:lang w:val="cs-CZ"/>
        </w:rPr>
        <w:t>smluv o sdílení namísto O2</w:t>
      </w:r>
      <w:r w:rsidRPr="002E7871">
        <w:rPr>
          <w:lang w:val="cs-CZ"/>
        </w:rPr>
        <w:t>. Dle sdělení zástupců společnosti O2 v</w:t>
      </w:r>
      <w:r w:rsidR="00247FC2" w:rsidRPr="002E7871">
        <w:rPr>
          <w:lang w:val="cs-CZ"/>
        </w:rPr>
        <w:t> </w:t>
      </w:r>
      <w:r w:rsidRPr="002E7871">
        <w:rPr>
          <w:lang w:val="cs-CZ"/>
        </w:rPr>
        <w:t xml:space="preserve">zásadě neexistuje odůvodnění pro to, aby společnost </w:t>
      </w:r>
      <w:proofErr w:type="spellStart"/>
      <w:r w:rsidRPr="002E7871">
        <w:rPr>
          <w:lang w:val="cs-CZ"/>
        </w:rPr>
        <w:t>Cetin</w:t>
      </w:r>
      <w:proofErr w:type="spellEnd"/>
      <w:r w:rsidRPr="002E7871">
        <w:rPr>
          <w:lang w:val="cs-CZ"/>
        </w:rPr>
        <w:t xml:space="preserve"> například získávala informace o</w:t>
      </w:r>
      <w:r w:rsidR="00247FC2" w:rsidRPr="002E7871">
        <w:rPr>
          <w:lang w:val="cs-CZ"/>
        </w:rPr>
        <w:t> </w:t>
      </w:r>
      <w:r w:rsidRPr="002E7871">
        <w:rPr>
          <w:lang w:val="cs-CZ"/>
        </w:rPr>
        <w:t>maloobchodních zákaznících společnosti O2, O2 pak na druhou stranu získá p</w:t>
      </w:r>
      <w:r w:rsidR="00D73AE2">
        <w:rPr>
          <w:lang w:val="cs-CZ"/>
        </w:rPr>
        <w:t>ouze nezbytně nutné informace o </w:t>
      </w:r>
      <w:r w:rsidRPr="002E7871">
        <w:rPr>
          <w:lang w:val="cs-CZ"/>
        </w:rPr>
        <w:t>infrastruktuře. Lze tedy předpokládat, že plnění smluv o</w:t>
      </w:r>
      <w:r w:rsidR="00AC6783" w:rsidRPr="002E7871">
        <w:rPr>
          <w:lang w:val="cs-CZ"/>
        </w:rPr>
        <w:t> </w:t>
      </w:r>
      <w:r w:rsidRPr="002E7871">
        <w:rPr>
          <w:lang w:val="cs-CZ"/>
        </w:rPr>
        <w:t xml:space="preserve">sdílení sítí by tak mělo být provázeno menšími riziky </w:t>
      </w:r>
      <w:r w:rsidR="00B15375" w:rsidRPr="002E7871">
        <w:rPr>
          <w:lang w:val="cs-CZ"/>
        </w:rPr>
        <w:t>ve vztahu</w:t>
      </w:r>
      <w:r w:rsidR="00423817">
        <w:rPr>
          <w:lang w:val="cs-CZ"/>
        </w:rPr>
        <w:t xml:space="preserve"> </w:t>
      </w:r>
      <w:r w:rsidR="00B15375" w:rsidRPr="002E7871">
        <w:rPr>
          <w:lang w:val="cs-CZ"/>
        </w:rPr>
        <w:t>ke</w:t>
      </w:r>
      <w:r w:rsidRPr="002E7871">
        <w:rPr>
          <w:lang w:val="cs-CZ"/>
        </w:rPr>
        <w:t xml:space="preserve"> sdílení informací a z toho vyplývajících možných protisoutěžních efektů.</w:t>
      </w:r>
    </w:p>
    <w:p w14:paraId="12D6FB32" w14:textId="77777777" w:rsidR="00FF5B55" w:rsidRPr="00475828" w:rsidRDefault="00FF5B55" w:rsidP="005916AF">
      <w:pPr>
        <w:pStyle w:val="Nadpis2"/>
        <w:keepNext w:val="0"/>
        <w:numPr>
          <w:ilvl w:val="2"/>
          <w:numId w:val="3"/>
        </w:numPr>
        <w:rPr>
          <w:b w:val="0"/>
          <w:i/>
        </w:rPr>
      </w:pPr>
      <w:bookmarkStart w:id="208" w:name="_Toc301423692"/>
      <w:r w:rsidRPr="00475828">
        <w:rPr>
          <w:b w:val="0"/>
          <w:i/>
        </w:rPr>
        <w:t>Podmínky sdílení 4G sítí v České republice</w:t>
      </w:r>
      <w:bookmarkEnd w:id="208"/>
    </w:p>
    <w:p w14:paraId="5C6F5E51" w14:textId="77777777" w:rsidR="00431AA8" w:rsidRDefault="00431AA8" w:rsidP="005916AF">
      <w:pPr>
        <w:ind w:firstLine="567"/>
        <w:rPr>
          <w:highlight w:val="yellow"/>
          <w:lang w:val="cs-CZ"/>
        </w:rPr>
      </w:pPr>
      <w:r>
        <w:rPr>
          <w:rFonts w:cs="Arial"/>
          <w:highlight w:val="yellow"/>
          <w:lang w:val="cs-CZ"/>
        </w:rPr>
        <w:t>[</w:t>
      </w:r>
      <w:r w:rsidRPr="00431AA8">
        <w:rPr>
          <w:rFonts w:cs="Arial"/>
          <w:i/>
          <w:highlight w:val="yellow"/>
          <w:lang w:val="cs-CZ"/>
        </w:rPr>
        <w:t>Obchodní tajemství</w:t>
      </w:r>
      <w:r>
        <w:rPr>
          <w:rFonts w:cs="Arial"/>
          <w:highlight w:val="yellow"/>
          <w:lang w:val="cs-CZ"/>
        </w:rPr>
        <w:t>]</w:t>
      </w:r>
    </w:p>
    <w:p w14:paraId="1775AF08" w14:textId="77777777" w:rsidR="00773633" w:rsidRPr="00475828" w:rsidRDefault="00FF5B55" w:rsidP="005916AF">
      <w:pPr>
        <w:pStyle w:val="Nadpis2"/>
        <w:keepNext w:val="0"/>
        <w:numPr>
          <w:ilvl w:val="2"/>
          <w:numId w:val="3"/>
        </w:numPr>
        <w:rPr>
          <w:b w:val="0"/>
          <w:i/>
        </w:rPr>
      </w:pPr>
      <w:bookmarkStart w:id="209" w:name="_Toc301423693"/>
      <w:r w:rsidRPr="00475828">
        <w:rPr>
          <w:b w:val="0"/>
          <w:i/>
        </w:rPr>
        <w:t xml:space="preserve">Vyhodnocení dopadů </w:t>
      </w:r>
      <w:r w:rsidR="004915E2" w:rsidRPr="00475828">
        <w:rPr>
          <w:b w:val="0"/>
          <w:i/>
        </w:rPr>
        <w:t>4G</w:t>
      </w:r>
      <w:r w:rsidRPr="00475828">
        <w:rPr>
          <w:b w:val="0"/>
          <w:i/>
        </w:rPr>
        <w:t xml:space="preserve"> sdílení sítí v České republice</w:t>
      </w:r>
      <w:bookmarkEnd w:id="209"/>
      <w:r w:rsidRPr="00475828">
        <w:rPr>
          <w:b w:val="0"/>
          <w:i/>
        </w:rPr>
        <w:t xml:space="preserve"> </w:t>
      </w:r>
    </w:p>
    <w:p w14:paraId="18C88885" w14:textId="77777777" w:rsidR="00D47992" w:rsidRDefault="00774D4C" w:rsidP="005916AF">
      <w:pPr>
        <w:ind w:firstLine="567"/>
        <w:rPr>
          <w:lang w:val="cs-CZ"/>
        </w:rPr>
      </w:pPr>
      <w:r w:rsidRPr="00475828">
        <w:rPr>
          <w:lang w:val="cs-CZ"/>
        </w:rPr>
        <w:t>Vyhodnocení dopadů úpravy sdílení sít</w:t>
      </w:r>
      <w:r w:rsidR="0094614A" w:rsidRPr="00475828">
        <w:rPr>
          <w:lang w:val="cs-CZ"/>
        </w:rPr>
        <w:t xml:space="preserve">í 4G z pohledu </w:t>
      </w:r>
      <w:r w:rsidR="00464881" w:rsidRPr="00475828">
        <w:rPr>
          <w:lang w:val="cs-CZ"/>
        </w:rPr>
        <w:t xml:space="preserve">Úřadu </w:t>
      </w:r>
      <w:r w:rsidR="0094614A" w:rsidRPr="00475828">
        <w:rPr>
          <w:lang w:val="cs-CZ"/>
        </w:rPr>
        <w:t xml:space="preserve">je vzhledem k podobnosti úpravy v obou smlouvách o sdílení sítí stejné. </w:t>
      </w:r>
      <w:r w:rsidRPr="00475828">
        <w:rPr>
          <w:lang w:val="cs-CZ"/>
        </w:rPr>
        <w:t xml:space="preserve"> </w:t>
      </w:r>
    </w:p>
    <w:p w14:paraId="602A1C26" w14:textId="77777777" w:rsidR="00FF5B55" w:rsidRPr="00475828" w:rsidRDefault="00A26B30" w:rsidP="005916AF">
      <w:pPr>
        <w:pStyle w:val="Nadpis2"/>
        <w:keepNext w:val="0"/>
        <w:numPr>
          <w:ilvl w:val="1"/>
          <w:numId w:val="3"/>
        </w:numPr>
      </w:pPr>
      <w:bookmarkStart w:id="210" w:name="_Toc301423694"/>
      <w:r>
        <w:t xml:space="preserve">Vyrovnané náklady na </w:t>
      </w:r>
      <w:r w:rsidR="00FF5B55" w:rsidRPr="00475828">
        <w:t>velkoobchodním trhu</w:t>
      </w:r>
      <w:r>
        <w:t>, které</w:t>
      </w:r>
      <w:r w:rsidR="00FF5B55" w:rsidRPr="00475828">
        <w:t xml:space="preserve"> ovlivňují ceny na</w:t>
      </w:r>
      <w:r>
        <w:t xml:space="preserve"> </w:t>
      </w:r>
      <w:r w:rsidR="00FF5B55" w:rsidRPr="00475828">
        <w:t>maloobchodním trhu</w:t>
      </w:r>
      <w:bookmarkEnd w:id="210"/>
      <w:r>
        <w:t xml:space="preserve">     </w:t>
      </w:r>
    </w:p>
    <w:p w14:paraId="4A86C2BC" w14:textId="77777777" w:rsidR="00FF5B55" w:rsidRPr="00475828" w:rsidRDefault="00FF5B55" w:rsidP="005916AF">
      <w:pPr>
        <w:pStyle w:val="Nadpis2"/>
        <w:keepNext w:val="0"/>
        <w:numPr>
          <w:ilvl w:val="2"/>
          <w:numId w:val="3"/>
        </w:numPr>
        <w:rPr>
          <w:b w:val="0"/>
          <w:i/>
        </w:rPr>
      </w:pPr>
      <w:bookmarkStart w:id="211" w:name="_Toc301423695"/>
      <w:r w:rsidRPr="00475828">
        <w:rPr>
          <w:b w:val="0"/>
          <w:i/>
        </w:rPr>
        <w:t>Rozhodovací praxe v</w:t>
      </w:r>
      <w:r w:rsidR="00866AD6" w:rsidRPr="00475828">
        <w:rPr>
          <w:b w:val="0"/>
          <w:i/>
        </w:rPr>
        <w:t> </w:t>
      </w:r>
      <w:r w:rsidRPr="00475828">
        <w:rPr>
          <w:b w:val="0"/>
          <w:i/>
        </w:rPr>
        <w:t>EU</w:t>
      </w:r>
      <w:bookmarkEnd w:id="211"/>
    </w:p>
    <w:p w14:paraId="2EE97379" w14:textId="77777777" w:rsidR="00866AD6" w:rsidRPr="00475828" w:rsidRDefault="00866AD6" w:rsidP="005916AF">
      <w:pPr>
        <w:ind w:firstLine="567"/>
        <w:rPr>
          <w:lang w:val="cs-CZ"/>
        </w:rPr>
      </w:pPr>
      <w:r w:rsidRPr="00475828">
        <w:rPr>
          <w:lang w:val="cs-CZ"/>
        </w:rPr>
        <w:t>Uzavření dohody o sdílení sítí mezi operátory, kteří již vlastní sítí disponují, vede zpravidla k</w:t>
      </w:r>
      <w:r w:rsidR="00247FC2">
        <w:rPr>
          <w:lang w:val="cs-CZ"/>
        </w:rPr>
        <w:t> </w:t>
      </w:r>
      <w:r w:rsidRPr="00475828">
        <w:rPr>
          <w:lang w:val="cs-CZ"/>
        </w:rPr>
        <w:t>tomu, že kvalita, technologická úroveň, náklady, jakož i další parametry služeb těchto operátorů na velkoobchodním trhu, se vyrovnávají. To se může projevit i</w:t>
      </w:r>
      <w:r w:rsidR="00CE7232">
        <w:rPr>
          <w:lang w:val="cs-CZ"/>
        </w:rPr>
        <w:t> </w:t>
      </w:r>
      <w:r w:rsidRPr="00475828">
        <w:rPr>
          <w:lang w:val="cs-CZ"/>
        </w:rPr>
        <w:t>na</w:t>
      </w:r>
      <w:r w:rsidR="00CE7232">
        <w:rPr>
          <w:lang w:val="cs-CZ"/>
        </w:rPr>
        <w:t> </w:t>
      </w:r>
      <w:r w:rsidRPr="00475828">
        <w:rPr>
          <w:lang w:val="cs-CZ"/>
        </w:rPr>
        <w:t>maloobchodním trhu jako zvyšující se uniformita nebo dokonce koordinace podmínek pro koncové zákazníky.</w:t>
      </w:r>
    </w:p>
    <w:p w14:paraId="4CFFC63E" w14:textId="77777777" w:rsidR="00866AD6" w:rsidRPr="00475828" w:rsidRDefault="00866AD6" w:rsidP="005916AF">
      <w:pPr>
        <w:ind w:firstLine="567"/>
        <w:rPr>
          <w:lang w:val="cs-CZ"/>
        </w:rPr>
      </w:pPr>
      <w:r w:rsidRPr="00475828">
        <w:rPr>
          <w:lang w:val="cs-CZ"/>
        </w:rPr>
        <w:t xml:space="preserve">Obdobný závěr vyjádřila i Komise ve svém rozhodnutí ve věci sdílení sítí společnostmi T-Mobile </w:t>
      </w:r>
      <w:proofErr w:type="spellStart"/>
      <w:r w:rsidRPr="00475828">
        <w:rPr>
          <w:lang w:val="cs-CZ"/>
        </w:rPr>
        <w:t>Deutschland</w:t>
      </w:r>
      <w:proofErr w:type="spellEnd"/>
      <w:r w:rsidRPr="00475828">
        <w:rPr>
          <w:lang w:val="cs-CZ"/>
        </w:rPr>
        <w:t xml:space="preserve"> a O2 </w:t>
      </w:r>
      <w:proofErr w:type="spellStart"/>
      <w:r w:rsidRPr="00475828">
        <w:rPr>
          <w:lang w:val="cs-CZ"/>
        </w:rPr>
        <w:t>Germany</w:t>
      </w:r>
      <w:proofErr w:type="spellEnd"/>
      <w:r w:rsidRPr="00475828">
        <w:rPr>
          <w:lang w:val="cs-CZ"/>
        </w:rPr>
        <w:t>. V uvedeném rozhodnutí nebyl tento účinek zkoumán ve</w:t>
      </w:r>
      <w:r w:rsidR="00CE7232">
        <w:rPr>
          <w:lang w:val="cs-CZ"/>
        </w:rPr>
        <w:t> </w:t>
      </w:r>
      <w:r w:rsidRPr="00475828">
        <w:rPr>
          <w:lang w:val="cs-CZ"/>
        </w:rPr>
        <w:t>vztahu ke sdílení RAN, ale ve vztahu k národnímu roamingu</w:t>
      </w:r>
      <w:r w:rsidR="00CE7232">
        <w:rPr>
          <w:lang w:val="cs-CZ"/>
        </w:rPr>
        <w:t>.</w:t>
      </w:r>
      <w:r w:rsidR="00CE7232" w:rsidRPr="00475828">
        <w:rPr>
          <w:lang w:val="cs-CZ"/>
        </w:rPr>
        <w:t xml:space="preserve"> </w:t>
      </w:r>
      <w:r w:rsidR="00CE7232">
        <w:rPr>
          <w:lang w:val="cs-CZ"/>
        </w:rPr>
        <w:t xml:space="preserve">Úřad se však </w:t>
      </w:r>
      <w:r w:rsidRPr="00475828">
        <w:rPr>
          <w:lang w:val="cs-CZ"/>
        </w:rPr>
        <w:t>domnívá, že</w:t>
      </w:r>
      <w:r w:rsidR="00CE7232">
        <w:rPr>
          <w:lang w:val="cs-CZ"/>
        </w:rPr>
        <w:t> </w:t>
      </w:r>
      <w:r w:rsidRPr="00475828">
        <w:rPr>
          <w:lang w:val="cs-CZ"/>
        </w:rPr>
        <w:t>i</w:t>
      </w:r>
      <w:r w:rsidR="00AC6783">
        <w:rPr>
          <w:lang w:val="cs-CZ"/>
        </w:rPr>
        <w:t> </w:t>
      </w:r>
      <w:r w:rsidRPr="00475828">
        <w:rPr>
          <w:lang w:val="cs-CZ"/>
        </w:rPr>
        <w:t>v</w:t>
      </w:r>
      <w:r w:rsidR="00CE7232">
        <w:rPr>
          <w:lang w:val="cs-CZ"/>
        </w:rPr>
        <w:t> </w:t>
      </w:r>
      <w:r w:rsidRPr="00475828">
        <w:rPr>
          <w:lang w:val="cs-CZ"/>
        </w:rPr>
        <w:t xml:space="preserve">takovém případě </w:t>
      </w:r>
      <w:r w:rsidR="00CE7232">
        <w:rPr>
          <w:lang w:val="cs-CZ"/>
        </w:rPr>
        <w:t xml:space="preserve">by </w:t>
      </w:r>
      <w:r w:rsidRPr="00475828">
        <w:rPr>
          <w:lang w:val="cs-CZ"/>
        </w:rPr>
        <w:t xml:space="preserve">byl tento závěr použitelný. Rozhodnutí Komise se také týkalo pouze 3G sítí, 2G sítě nebyly předmětem posuzovaných dohod. </w:t>
      </w:r>
    </w:p>
    <w:p w14:paraId="0B6517D6" w14:textId="708D3B54" w:rsidR="00866AD6" w:rsidRPr="00475828" w:rsidRDefault="00866AD6" w:rsidP="005916AF">
      <w:pPr>
        <w:ind w:firstLine="567"/>
        <w:rPr>
          <w:lang w:val="cs-CZ"/>
        </w:rPr>
      </w:pPr>
      <w:r w:rsidRPr="00475828">
        <w:rPr>
          <w:lang w:val="cs-CZ"/>
        </w:rPr>
        <w:t>Komise konstatovala, že národní roaming mezi operátory, kteří získali licenci k</w:t>
      </w:r>
      <w:r w:rsidR="0082201B">
        <w:rPr>
          <w:lang w:val="cs-CZ"/>
        </w:rPr>
        <w:t> </w:t>
      </w:r>
      <w:r w:rsidRPr="00475828">
        <w:rPr>
          <w:lang w:val="cs-CZ"/>
        </w:rPr>
        <w:t>vybudování a</w:t>
      </w:r>
      <w:r w:rsidR="00247FC2">
        <w:rPr>
          <w:lang w:val="cs-CZ"/>
        </w:rPr>
        <w:t> </w:t>
      </w:r>
      <w:r w:rsidRPr="00475828">
        <w:rPr>
          <w:lang w:val="cs-CZ"/>
        </w:rPr>
        <w:t>provozování vlastní mobilní sítě</w:t>
      </w:r>
      <w:r w:rsidR="00423817">
        <w:rPr>
          <w:lang w:val="cs-CZ"/>
        </w:rPr>
        <w:t>,</w:t>
      </w:r>
      <w:r w:rsidRPr="00475828">
        <w:rPr>
          <w:lang w:val="cs-CZ"/>
        </w:rPr>
        <w:t xml:space="preserve"> ze své podstaty omezuje soutěž mezi těmito operátory v</w:t>
      </w:r>
      <w:r w:rsidR="00247FC2">
        <w:rPr>
          <w:lang w:val="cs-CZ"/>
        </w:rPr>
        <w:t> </w:t>
      </w:r>
      <w:r w:rsidRPr="00475828">
        <w:rPr>
          <w:lang w:val="cs-CZ"/>
        </w:rPr>
        <w:t xml:space="preserve">klíčových ukazatelích, jako je pokrytí nebo kvalita a rychlost přenosu. Tento negativní dopad na soutěž bude podle Komise výraznější v těch oblastech, kde je zřejmé ekonomické opodstatnění pro vybudování paralelních sítí - tedy v městských, hustě obydlených oblastech. Národní roaming na velkoobchodní úrovni povede k většímu sjednocení podmínek na maloobchodním trhu, a to z toho důvodu, že pokrytí, kvalita a rychlost přenosu budou stejné. Rychlost přenosu do velké míry předurčí druh služeb, které budou operátoři nabízet. Omezí také cenovou soutěž. </w:t>
      </w:r>
    </w:p>
    <w:p w14:paraId="40502204" w14:textId="77777777" w:rsidR="00866AD6" w:rsidRPr="00475828" w:rsidRDefault="00866AD6" w:rsidP="005916AF">
      <w:pPr>
        <w:ind w:firstLine="567"/>
        <w:rPr>
          <w:lang w:val="cs-CZ"/>
        </w:rPr>
      </w:pPr>
      <w:r w:rsidRPr="00475828">
        <w:rPr>
          <w:lang w:val="cs-CZ"/>
        </w:rPr>
        <w:t>Evropská komise nakonec národní roaming jak v Německu, tak ve Velké Británii umožnila, a to z důvodu splnění podmínek pro uplatnění výjimky podle čl. 101 (3) SFEU.</w:t>
      </w:r>
    </w:p>
    <w:p w14:paraId="5D35D2E9" w14:textId="77777777" w:rsidR="00FF5B55" w:rsidRPr="00475828" w:rsidRDefault="00FF5B55" w:rsidP="005916AF">
      <w:pPr>
        <w:pStyle w:val="Nadpis2"/>
        <w:keepNext w:val="0"/>
        <w:numPr>
          <w:ilvl w:val="2"/>
          <w:numId w:val="3"/>
        </w:numPr>
        <w:rPr>
          <w:b w:val="0"/>
          <w:i/>
        </w:rPr>
      </w:pPr>
      <w:bookmarkStart w:id="212" w:name="_Toc301423696"/>
      <w:r w:rsidRPr="00475828">
        <w:rPr>
          <w:b w:val="0"/>
          <w:i/>
        </w:rPr>
        <w:t xml:space="preserve">Podmínky sdílení </w:t>
      </w:r>
      <w:r w:rsidR="00112806" w:rsidRPr="00475828">
        <w:rPr>
          <w:b w:val="0"/>
          <w:i/>
        </w:rPr>
        <w:t xml:space="preserve">sítí </w:t>
      </w:r>
      <w:r w:rsidRPr="00475828">
        <w:rPr>
          <w:b w:val="0"/>
          <w:i/>
        </w:rPr>
        <w:t>2G a 3G v České republice</w:t>
      </w:r>
      <w:bookmarkEnd w:id="212"/>
    </w:p>
    <w:p w14:paraId="74E91E37" w14:textId="77777777" w:rsidR="00BF7CFD" w:rsidRDefault="00BF7CFD" w:rsidP="005916AF">
      <w:pPr>
        <w:ind w:firstLine="567"/>
        <w:rPr>
          <w:highlight w:val="green"/>
          <w:lang w:val="cs-CZ"/>
        </w:rPr>
      </w:pPr>
      <w:r>
        <w:rPr>
          <w:rFonts w:cs="Arial"/>
          <w:highlight w:val="yellow"/>
          <w:lang w:val="cs-CZ"/>
        </w:rPr>
        <w:t>[</w:t>
      </w:r>
      <w:r w:rsidRPr="00431AA8">
        <w:rPr>
          <w:rFonts w:cs="Arial"/>
          <w:i/>
          <w:highlight w:val="yellow"/>
          <w:lang w:val="cs-CZ"/>
        </w:rPr>
        <w:t>Obchodní tajemství</w:t>
      </w:r>
      <w:r>
        <w:rPr>
          <w:rFonts w:cs="Arial"/>
          <w:highlight w:val="yellow"/>
          <w:lang w:val="cs-CZ"/>
        </w:rPr>
        <w:t>]</w:t>
      </w:r>
    </w:p>
    <w:p w14:paraId="2E392190" w14:textId="69917FD1" w:rsidR="00866AD6" w:rsidRPr="00475828" w:rsidRDefault="00866AD6" w:rsidP="005916AF">
      <w:pPr>
        <w:ind w:firstLine="567"/>
        <w:rPr>
          <w:lang w:val="cs-CZ"/>
        </w:rPr>
      </w:pPr>
    </w:p>
    <w:p w14:paraId="60C95545" w14:textId="77777777" w:rsidR="00FF5B55" w:rsidRPr="00475828" w:rsidRDefault="00FF5B55" w:rsidP="005916AF">
      <w:pPr>
        <w:pStyle w:val="Nadpis2"/>
        <w:keepNext w:val="0"/>
        <w:numPr>
          <w:ilvl w:val="2"/>
          <w:numId w:val="3"/>
        </w:numPr>
        <w:rPr>
          <w:b w:val="0"/>
          <w:i/>
        </w:rPr>
      </w:pPr>
      <w:bookmarkStart w:id="213" w:name="_Toc301423697"/>
      <w:r w:rsidRPr="00475828">
        <w:rPr>
          <w:b w:val="0"/>
          <w:i/>
        </w:rPr>
        <w:t>Podmínky sdílení 4G sítí v České republice</w:t>
      </w:r>
      <w:bookmarkEnd w:id="213"/>
    </w:p>
    <w:p w14:paraId="26D92E9B" w14:textId="77777777" w:rsidR="00BF7CFD" w:rsidRDefault="00BF7CFD" w:rsidP="005916AF">
      <w:pPr>
        <w:ind w:firstLine="567"/>
        <w:rPr>
          <w:rFonts w:cs="Arial"/>
          <w:highlight w:val="yellow"/>
          <w:lang w:val="cs-CZ"/>
        </w:rPr>
      </w:pPr>
      <w:r>
        <w:rPr>
          <w:rFonts w:cs="Arial"/>
          <w:highlight w:val="yellow"/>
          <w:lang w:val="cs-CZ"/>
        </w:rPr>
        <w:t>[</w:t>
      </w:r>
      <w:r w:rsidRPr="00431AA8">
        <w:rPr>
          <w:rFonts w:cs="Arial"/>
          <w:i/>
          <w:highlight w:val="yellow"/>
          <w:lang w:val="cs-CZ"/>
        </w:rPr>
        <w:t>Obchodní tajemství</w:t>
      </w:r>
      <w:r>
        <w:rPr>
          <w:rFonts w:cs="Arial"/>
          <w:highlight w:val="yellow"/>
          <w:lang w:val="cs-CZ"/>
        </w:rPr>
        <w:t>]</w:t>
      </w:r>
    </w:p>
    <w:p w14:paraId="77EC5027" w14:textId="77777777" w:rsidR="00506704" w:rsidRPr="00C47A5C" w:rsidRDefault="00FF5B55" w:rsidP="005916AF">
      <w:pPr>
        <w:pStyle w:val="Nadpis2"/>
        <w:keepNext w:val="0"/>
        <w:numPr>
          <w:ilvl w:val="2"/>
          <w:numId w:val="3"/>
        </w:numPr>
        <w:rPr>
          <w:b w:val="0"/>
          <w:i/>
        </w:rPr>
      </w:pPr>
      <w:bookmarkStart w:id="214" w:name="_Toc301423698"/>
      <w:r w:rsidRPr="00C47A5C">
        <w:rPr>
          <w:b w:val="0"/>
          <w:i/>
        </w:rPr>
        <w:t>Ekonomické vyhodnocení dopadů sdílení sítí v České republice</w:t>
      </w:r>
      <w:bookmarkEnd w:id="214"/>
    </w:p>
    <w:p w14:paraId="3FCBD2CB" w14:textId="77777777" w:rsidR="007C5D86" w:rsidRPr="00475828" w:rsidRDefault="007C5D86" w:rsidP="005916AF">
      <w:pPr>
        <w:ind w:firstLine="567"/>
        <w:rPr>
          <w:lang w:val="cs-CZ"/>
        </w:rPr>
      </w:pPr>
      <w:r w:rsidRPr="00475828">
        <w:rPr>
          <w:lang w:val="cs-CZ"/>
        </w:rPr>
        <w:t>Technické možnosti vzájemného odlišování služeb obou sdílejících operátorů se Úřad věnoval již výše v kapitole 6.1.5. Detailnějšímu srovnání potenciálních úspor ze sdílení sítí a</w:t>
      </w:r>
      <w:r w:rsidR="0082201B">
        <w:rPr>
          <w:lang w:val="cs-CZ"/>
        </w:rPr>
        <w:t> </w:t>
      </w:r>
      <w:r w:rsidRPr="00475828">
        <w:rPr>
          <w:lang w:val="cs-CZ"/>
        </w:rPr>
        <w:t>jejich relaci k celkovým nákladům a jednotkovým úsporám na jednu SIM kartu se Úřad věnuje níže v kapitole 6.5.</w:t>
      </w:r>
    </w:p>
    <w:p w14:paraId="09627B82" w14:textId="77777777" w:rsidR="007C5D86" w:rsidRPr="00475828" w:rsidRDefault="007C5D86" w:rsidP="005916AF">
      <w:pPr>
        <w:ind w:firstLine="567"/>
        <w:rPr>
          <w:lang w:val="cs-CZ"/>
        </w:rPr>
      </w:pPr>
      <w:r w:rsidRPr="00475828">
        <w:rPr>
          <w:lang w:val="cs-CZ"/>
        </w:rPr>
        <w:t>Úřad negativní vliv posuzovaného kritéria na vzájemnou konkurenci obou sdílejících operátorů nepovažuje za významný, a to z následujících důvodů. Jednak oba operátoři mají i</w:t>
      </w:r>
      <w:r w:rsidR="0082201B">
        <w:rPr>
          <w:lang w:val="cs-CZ"/>
        </w:rPr>
        <w:t> </w:t>
      </w:r>
      <w:r w:rsidRPr="00475828">
        <w:rPr>
          <w:lang w:val="cs-CZ"/>
        </w:rPr>
        <w:t>nadále technickou možnost vzájemně odlišovat své maloobchodní služby (</w:t>
      </w:r>
      <w:r w:rsidR="0058678D" w:rsidRPr="00475828">
        <w:rPr>
          <w:lang w:val="cs-CZ"/>
        </w:rPr>
        <w:t>této možnosti se</w:t>
      </w:r>
      <w:r w:rsidR="00DC236A">
        <w:rPr>
          <w:lang w:val="cs-CZ"/>
        </w:rPr>
        <w:t> </w:t>
      </w:r>
      <w:r w:rsidR="0058678D" w:rsidRPr="00475828">
        <w:rPr>
          <w:lang w:val="cs-CZ"/>
        </w:rPr>
        <w:t xml:space="preserve">Úřad věnoval již výše, viz </w:t>
      </w:r>
      <w:r w:rsidRPr="00475828">
        <w:rPr>
          <w:lang w:val="cs-CZ"/>
        </w:rPr>
        <w:t>kapitola 6.1.5) a</w:t>
      </w:r>
      <w:r w:rsidR="0058678D" w:rsidRPr="00475828">
        <w:rPr>
          <w:lang w:val="cs-CZ"/>
        </w:rPr>
        <w:t xml:space="preserve"> jednak potenciální úspory ze sdílení sítí a jejich relace k celkovým nákladům a také jednotková výše úspor na jednu SIM kartu a její relace k průměrnému výnosu na SIM kartu (ARP</w:t>
      </w:r>
      <w:r w:rsidR="00247FC2">
        <w:rPr>
          <w:lang w:val="cs-CZ"/>
        </w:rPr>
        <w:t>U</w:t>
      </w:r>
      <w:r w:rsidR="0058678D" w:rsidRPr="00475828">
        <w:rPr>
          <w:lang w:val="cs-CZ"/>
        </w:rPr>
        <w:t>) jsou takové povahy, která umožňuje předpokládat, že oper</w:t>
      </w:r>
      <w:r w:rsidR="00F77245" w:rsidRPr="00475828">
        <w:rPr>
          <w:lang w:val="cs-CZ"/>
        </w:rPr>
        <w:t xml:space="preserve">átoři mají v celém nákladovém řetězci </w:t>
      </w:r>
      <w:r w:rsidR="0058678D" w:rsidRPr="00475828">
        <w:rPr>
          <w:lang w:val="cs-CZ"/>
        </w:rPr>
        <w:t>i nadále značný prostor pro možnost odlišit se od své konkurence</w:t>
      </w:r>
      <w:r w:rsidR="00F77245" w:rsidRPr="00475828">
        <w:rPr>
          <w:lang w:val="cs-CZ"/>
        </w:rPr>
        <w:t xml:space="preserve">. Blíže se Úřad věnuje těmto nákladovým odhadům níže v kapitole 6.5. </w:t>
      </w:r>
    </w:p>
    <w:p w14:paraId="2228E1D3" w14:textId="77777777" w:rsidR="00F77245" w:rsidRPr="00475828" w:rsidRDefault="00F77245" w:rsidP="005916AF">
      <w:pPr>
        <w:ind w:firstLine="567"/>
        <w:rPr>
          <w:lang w:val="cs-CZ"/>
        </w:rPr>
      </w:pPr>
      <w:r w:rsidRPr="00475828">
        <w:rPr>
          <w:lang w:val="cs-CZ"/>
        </w:rPr>
        <w:t>Výše uvedený závěr lze podpořit i paralelou na jiné velkoobchodní trhy elektronických komunikací. Jedním z úkolů Úřadu jako sektorového regulátora je podporovat úroveň konkurenčního prostředí na maloobchodních trzích (ve prospěch uživatelů), a to nejčastěji prostřednictvím regulace na předcházejících trzích velkoobchodních (tj. trzích mezi operátory). Nejpřísnějším regulačním nástrojem (s výjimkou možnosti funkční separace) ukládaným na</w:t>
      </w:r>
      <w:r w:rsidR="00DC236A">
        <w:rPr>
          <w:lang w:val="cs-CZ"/>
        </w:rPr>
        <w:t> </w:t>
      </w:r>
      <w:r w:rsidRPr="00475828">
        <w:rPr>
          <w:lang w:val="cs-CZ"/>
        </w:rPr>
        <w:t xml:space="preserve">velkoobchodních trzích, </w:t>
      </w:r>
      <w:r w:rsidR="00E90A9B" w:rsidRPr="00475828">
        <w:rPr>
          <w:lang w:val="cs-CZ"/>
        </w:rPr>
        <w:t>s cílem podpořit úroveň</w:t>
      </w:r>
      <w:r w:rsidRPr="00475828">
        <w:rPr>
          <w:lang w:val="cs-CZ"/>
        </w:rPr>
        <w:t xml:space="preserve"> konkurenčního prostředí na trzích maloobchodních, je </w:t>
      </w:r>
      <w:r w:rsidR="00E90A9B" w:rsidRPr="00475828">
        <w:rPr>
          <w:lang w:val="cs-CZ"/>
        </w:rPr>
        <w:t>cenová</w:t>
      </w:r>
      <w:r w:rsidRPr="00475828">
        <w:rPr>
          <w:lang w:val="cs-CZ"/>
        </w:rPr>
        <w:t xml:space="preserve"> regulace formou nákladové orientace cen.</w:t>
      </w:r>
      <w:r w:rsidR="00E90A9B" w:rsidRPr="00475828">
        <w:rPr>
          <w:lang w:val="cs-CZ"/>
        </w:rPr>
        <w:t xml:space="preserve"> Bezprostředním dopadem této regulace (v kombinaci s povinností přístupu) je otevření velkoobchodního trhu pro alternativní operátory za takových cenových podmínek, které odráží výši nákladů samotného regulovaného podniku. Úřad tak podporuje konkurenci na maloobchodních trzích právě tím, že na trzích velkoobchodních staví všechny operátory na jednu pomyslnou startovací čáru a předpokládá, že v navazujících činnostech při tvorbě finální služby pro</w:t>
      </w:r>
      <w:r w:rsidR="00DC236A">
        <w:rPr>
          <w:lang w:val="cs-CZ"/>
        </w:rPr>
        <w:t> </w:t>
      </w:r>
      <w:r w:rsidR="00E90A9B" w:rsidRPr="00475828">
        <w:rPr>
          <w:lang w:val="cs-CZ"/>
        </w:rPr>
        <w:t>uživatele na maloobchod</w:t>
      </w:r>
      <w:r w:rsidR="00CE2650">
        <w:rPr>
          <w:lang w:val="cs-CZ"/>
        </w:rPr>
        <w:t>ním trhu se od sebe dokážo</w:t>
      </w:r>
      <w:r w:rsidR="00B136D5">
        <w:rPr>
          <w:lang w:val="cs-CZ"/>
        </w:rPr>
        <w:t>u</w:t>
      </w:r>
      <w:r w:rsidR="00E90A9B" w:rsidRPr="00475828">
        <w:rPr>
          <w:lang w:val="cs-CZ"/>
        </w:rPr>
        <w:t xml:space="preserve"> vzájemně odlišit (parametry služby, vč. ceny</w:t>
      </w:r>
      <w:r w:rsidR="0019627D" w:rsidRPr="00475828">
        <w:rPr>
          <w:lang w:val="cs-CZ"/>
        </w:rPr>
        <w:t xml:space="preserve">). Je přitom třeba podotknout, že mnohdy tyto velkoobchodní trhy a služby na nich poskytované zahrnují již značnou část infrastruktury regulovaného subjektu a alternativním operátorům zbývá pro možnost odlišit se od maloobchodních služeb regulovaného subjektu méně prostoru, než kolik mají společnosti O2 a </w:t>
      </w:r>
      <w:r w:rsidR="00DC236A">
        <w:rPr>
          <w:lang w:val="cs-CZ"/>
        </w:rPr>
        <w:t>TMCZ</w:t>
      </w:r>
      <w:r w:rsidR="0019627D" w:rsidRPr="00475828">
        <w:rPr>
          <w:lang w:val="cs-CZ"/>
        </w:rPr>
        <w:t xml:space="preserve"> při projektu sdílení sítí. I tak</w:t>
      </w:r>
      <w:r w:rsidR="009106A7" w:rsidRPr="00475828">
        <w:rPr>
          <w:lang w:val="cs-CZ"/>
        </w:rPr>
        <w:t xml:space="preserve"> však panuje přesvědčení, že i při vysokém stupni vyrovnaných nákladů na velkoobchodním trhu spolu regulovaný operátor a alternativní operátoři mohou vzájemně soutěžit na trhu maloobchodním.</w:t>
      </w:r>
    </w:p>
    <w:p w14:paraId="156C2CF4" w14:textId="77777777" w:rsidR="004915E2" w:rsidRPr="00475828" w:rsidRDefault="004915E2" w:rsidP="005916AF">
      <w:pPr>
        <w:pStyle w:val="Nadpis2"/>
        <w:keepNext w:val="0"/>
        <w:numPr>
          <w:ilvl w:val="1"/>
          <w:numId w:val="3"/>
        </w:numPr>
      </w:pPr>
      <w:bookmarkStart w:id="215" w:name="_Toc301423699"/>
      <w:r w:rsidRPr="00475828">
        <w:t>Vliv na soutěž na velkoobchodním trhu</w:t>
      </w:r>
      <w:bookmarkEnd w:id="215"/>
    </w:p>
    <w:p w14:paraId="72054330" w14:textId="77777777" w:rsidR="009E6E2B" w:rsidRPr="00475828" w:rsidRDefault="009E6E2B" w:rsidP="005916AF">
      <w:pPr>
        <w:pStyle w:val="Nadpis2"/>
        <w:keepNext w:val="0"/>
        <w:numPr>
          <w:ilvl w:val="2"/>
          <w:numId w:val="3"/>
        </w:numPr>
        <w:rPr>
          <w:b w:val="0"/>
          <w:i/>
        </w:rPr>
      </w:pPr>
      <w:bookmarkStart w:id="216" w:name="_Toc301423700"/>
      <w:r w:rsidRPr="00475828">
        <w:rPr>
          <w:b w:val="0"/>
          <w:i/>
        </w:rPr>
        <w:t xml:space="preserve">Podmínky sdílení </w:t>
      </w:r>
      <w:r w:rsidR="00112806" w:rsidRPr="00475828">
        <w:rPr>
          <w:b w:val="0"/>
          <w:i/>
        </w:rPr>
        <w:t xml:space="preserve">sítí </w:t>
      </w:r>
      <w:r w:rsidRPr="00475828">
        <w:rPr>
          <w:b w:val="0"/>
          <w:i/>
        </w:rPr>
        <w:t>2G a 3G v České republice</w:t>
      </w:r>
      <w:bookmarkEnd w:id="216"/>
    </w:p>
    <w:p w14:paraId="4EEF6B44" w14:textId="718BAA2F" w:rsidR="00044F06" w:rsidRPr="0040113F" w:rsidRDefault="0040113F" w:rsidP="005916AF">
      <w:pPr>
        <w:ind w:firstLine="567"/>
        <w:rPr>
          <w:highlight w:val="yellow"/>
          <w:lang w:val="cs-CZ"/>
        </w:rPr>
      </w:pPr>
      <w:r>
        <w:rPr>
          <w:rFonts w:cs="Arial"/>
          <w:highlight w:val="yellow"/>
          <w:lang w:val="cs-CZ"/>
        </w:rPr>
        <w:t>[</w:t>
      </w:r>
      <w:r w:rsidRPr="00431AA8">
        <w:rPr>
          <w:rFonts w:cs="Arial"/>
          <w:i/>
          <w:highlight w:val="yellow"/>
          <w:lang w:val="cs-CZ"/>
        </w:rPr>
        <w:t>Obchodní tajemství</w:t>
      </w:r>
      <w:r>
        <w:rPr>
          <w:rFonts w:cs="Arial"/>
          <w:highlight w:val="yellow"/>
          <w:lang w:val="cs-CZ"/>
        </w:rPr>
        <w:t>]</w:t>
      </w:r>
      <w:r w:rsidR="00044F06" w:rsidRPr="0040113F">
        <w:rPr>
          <w:highlight w:val="yellow"/>
          <w:lang w:val="cs-CZ"/>
        </w:rPr>
        <w:t xml:space="preserve">   </w:t>
      </w:r>
    </w:p>
    <w:p w14:paraId="51F30005" w14:textId="77777777" w:rsidR="009E6E2B" w:rsidRPr="00475828" w:rsidRDefault="009E6E2B" w:rsidP="005916AF">
      <w:pPr>
        <w:pStyle w:val="Nadpis2"/>
        <w:keepNext w:val="0"/>
        <w:numPr>
          <w:ilvl w:val="2"/>
          <w:numId w:val="3"/>
        </w:numPr>
        <w:rPr>
          <w:b w:val="0"/>
          <w:i/>
        </w:rPr>
      </w:pPr>
      <w:bookmarkStart w:id="217" w:name="_Toc301423701"/>
      <w:r w:rsidRPr="00475828">
        <w:rPr>
          <w:b w:val="0"/>
          <w:i/>
        </w:rPr>
        <w:t xml:space="preserve">Podmínky sdílení </w:t>
      </w:r>
      <w:r w:rsidR="00112806" w:rsidRPr="00475828">
        <w:rPr>
          <w:b w:val="0"/>
          <w:i/>
        </w:rPr>
        <w:t xml:space="preserve">sítí </w:t>
      </w:r>
      <w:r w:rsidRPr="00475828">
        <w:rPr>
          <w:b w:val="0"/>
          <w:i/>
        </w:rPr>
        <w:t>4G v České republice</w:t>
      </w:r>
      <w:bookmarkEnd w:id="217"/>
    </w:p>
    <w:p w14:paraId="7254A45E" w14:textId="77777777" w:rsidR="0040113F" w:rsidRDefault="0040113F" w:rsidP="005916AF">
      <w:pPr>
        <w:ind w:firstLine="567"/>
        <w:rPr>
          <w:rFonts w:cs="Arial"/>
          <w:highlight w:val="yellow"/>
          <w:lang w:val="cs-CZ"/>
        </w:rPr>
      </w:pPr>
      <w:r>
        <w:rPr>
          <w:rFonts w:cs="Arial"/>
          <w:highlight w:val="yellow"/>
          <w:lang w:val="cs-CZ"/>
        </w:rPr>
        <w:t>[</w:t>
      </w:r>
      <w:r w:rsidRPr="00431AA8">
        <w:rPr>
          <w:rFonts w:cs="Arial"/>
          <w:i/>
          <w:highlight w:val="yellow"/>
          <w:lang w:val="cs-CZ"/>
        </w:rPr>
        <w:t>Obchodní tajemství</w:t>
      </w:r>
      <w:r>
        <w:rPr>
          <w:rFonts w:cs="Arial"/>
          <w:highlight w:val="yellow"/>
          <w:lang w:val="cs-CZ"/>
        </w:rPr>
        <w:t>]</w:t>
      </w:r>
    </w:p>
    <w:p w14:paraId="155F6039" w14:textId="77777777" w:rsidR="00F46F24" w:rsidRPr="00475828" w:rsidRDefault="00F46F24" w:rsidP="0040113F">
      <w:pPr>
        <w:rPr>
          <w:lang w:val="cs-CZ"/>
        </w:rPr>
      </w:pPr>
    </w:p>
    <w:p w14:paraId="06FB28C0" w14:textId="77777777" w:rsidR="009E6E2B" w:rsidRPr="00475828" w:rsidRDefault="009E6E2B" w:rsidP="005916AF">
      <w:pPr>
        <w:pStyle w:val="Nadpis2"/>
        <w:keepNext w:val="0"/>
        <w:numPr>
          <w:ilvl w:val="2"/>
          <w:numId w:val="3"/>
        </w:numPr>
        <w:rPr>
          <w:b w:val="0"/>
          <w:i/>
        </w:rPr>
      </w:pPr>
      <w:bookmarkStart w:id="218" w:name="_Toc301423702"/>
      <w:r w:rsidRPr="00475828">
        <w:rPr>
          <w:b w:val="0"/>
          <w:i/>
        </w:rPr>
        <w:t>Vyhodnocení dopadů sdílení sítí na velkoobchodní trh v České republice</w:t>
      </w:r>
      <w:bookmarkEnd w:id="218"/>
    </w:p>
    <w:p w14:paraId="6C571082" w14:textId="77777777" w:rsidR="00CA6CBC" w:rsidRPr="00475828" w:rsidRDefault="002D19F6" w:rsidP="005916AF">
      <w:pPr>
        <w:ind w:firstLine="567"/>
        <w:rPr>
          <w:lang w:val="cs-CZ"/>
        </w:rPr>
      </w:pPr>
      <w:r w:rsidRPr="00475828">
        <w:rPr>
          <w:lang w:val="cs-CZ"/>
        </w:rPr>
        <w:t>Dle dostupných informací se rozhodovací praxe ohledně sdílení sítí v členských státech EU nevěnuje dopadu na soutěž na rele</w:t>
      </w:r>
      <w:r w:rsidR="009F48BA" w:rsidRPr="00475828">
        <w:rPr>
          <w:lang w:val="cs-CZ"/>
        </w:rPr>
        <w:t xml:space="preserve">vantních velkoobchodních trzích. </w:t>
      </w:r>
    </w:p>
    <w:p w14:paraId="6321455C" w14:textId="77777777" w:rsidR="004915E2" w:rsidRPr="00500272" w:rsidRDefault="00CA6CBC" w:rsidP="005916AF">
      <w:pPr>
        <w:ind w:firstLine="567"/>
        <w:rPr>
          <w:lang w:val="cs-CZ"/>
        </w:rPr>
      </w:pPr>
      <w:r w:rsidRPr="00475828">
        <w:rPr>
          <w:lang w:val="cs-CZ"/>
        </w:rPr>
        <w:t xml:space="preserve">V ideálním případě, kdy sdílení sítí vede ke snížení provozních a investičních nákladů, lze očekávat, že by se snížení těchto nákladů mělo pozitivně </w:t>
      </w:r>
      <w:r w:rsidR="00204B70" w:rsidRPr="00475828">
        <w:rPr>
          <w:lang w:val="cs-CZ"/>
        </w:rPr>
        <w:t>promítnout</w:t>
      </w:r>
      <w:r w:rsidRPr="00475828">
        <w:rPr>
          <w:lang w:val="cs-CZ"/>
        </w:rPr>
        <w:t xml:space="preserve"> ve v</w:t>
      </w:r>
      <w:r w:rsidR="00DC236A">
        <w:rPr>
          <w:lang w:val="cs-CZ"/>
        </w:rPr>
        <w:t>z</w:t>
      </w:r>
      <w:r w:rsidRPr="00475828">
        <w:rPr>
          <w:lang w:val="cs-CZ"/>
        </w:rPr>
        <w:t>tahu ke</w:t>
      </w:r>
      <w:r w:rsidR="00DC236A">
        <w:rPr>
          <w:lang w:val="cs-CZ"/>
        </w:rPr>
        <w:t> </w:t>
      </w:r>
      <w:r w:rsidRPr="00475828">
        <w:rPr>
          <w:lang w:val="cs-CZ"/>
        </w:rPr>
        <w:t>konkuren</w:t>
      </w:r>
      <w:r w:rsidR="00204B70" w:rsidRPr="00475828">
        <w:rPr>
          <w:lang w:val="cs-CZ"/>
        </w:rPr>
        <w:t xml:space="preserve">ceschopnosti </w:t>
      </w:r>
      <w:proofErr w:type="spellStart"/>
      <w:r w:rsidR="00204B70" w:rsidRPr="00475828">
        <w:rPr>
          <w:lang w:val="cs-CZ"/>
        </w:rPr>
        <w:t>MVNOs</w:t>
      </w:r>
      <w:proofErr w:type="spellEnd"/>
      <w:r w:rsidR="00204B70" w:rsidRPr="00475828">
        <w:rPr>
          <w:lang w:val="cs-CZ"/>
        </w:rPr>
        <w:t>: ceny za poskytnutí velkoobchodní služby či národního roamingu by obecně měly být přiměřené povaze poskytované služby a nákladům vynaloženým operátory sdílejícími sítě. V takovém případě lze pak předpokládat, že při poskytnutí národního roamingu či velkoobchodní nabídky (ať již na základě dobrovolné komerční dohody či jako vyústění povinností převzatých sdílejícími operátory v rámci Výběrového řízení za účelem udělení práv k využívání rádiových kmitočtů k zajištění veřejné komunikační sítě v pásmech 800 MHz, 1800 MHz a 2600 MHz) by došlo ke snížení ceny za toto poskytnutí.</w:t>
      </w:r>
      <w:r w:rsidR="001165C5" w:rsidRPr="00475828">
        <w:rPr>
          <w:lang w:val="cs-CZ"/>
        </w:rPr>
        <w:t xml:space="preserve"> </w:t>
      </w:r>
      <w:r w:rsidR="001165C5" w:rsidRPr="00500272">
        <w:rPr>
          <w:lang w:val="cs-CZ"/>
        </w:rPr>
        <w:t>Vzhledem k</w:t>
      </w:r>
      <w:r w:rsidR="001868D5" w:rsidRPr="00500272">
        <w:rPr>
          <w:lang w:val="cs-CZ"/>
        </w:rPr>
        <w:t xml:space="preserve"> prohlášením smluvních stran týkajícím se neomezené možnosti uzavírání smluv se třetími stranami na velkoobchodním trhu se </w:t>
      </w:r>
      <w:r w:rsidR="00464881" w:rsidRPr="00500272">
        <w:rPr>
          <w:lang w:val="cs-CZ"/>
        </w:rPr>
        <w:t xml:space="preserve">Úřad </w:t>
      </w:r>
      <w:r w:rsidR="001868D5" w:rsidRPr="00500272">
        <w:rPr>
          <w:lang w:val="cs-CZ"/>
        </w:rPr>
        <w:t>domnívá, že případná omezení by tak musela vyplývat, podobně jako u maloobchodního trhu, spíše ze zvýšené uniformity sítí.</w:t>
      </w:r>
    </w:p>
    <w:p w14:paraId="0E6EB743" w14:textId="1F32CCBB" w:rsidR="00204B70" w:rsidRPr="00475828" w:rsidRDefault="00464881" w:rsidP="005916AF">
      <w:pPr>
        <w:ind w:firstLine="567"/>
        <w:rPr>
          <w:lang w:val="cs-CZ"/>
        </w:rPr>
      </w:pPr>
      <w:r w:rsidRPr="00500272">
        <w:rPr>
          <w:lang w:val="cs-CZ"/>
        </w:rPr>
        <w:t xml:space="preserve">Úřad </w:t>
      </w:r>
      <w:r w:rsidR="00204B70" w:rsidRPr="00500272">
        <w:rPr>
          <w:lang w:val="cs-CZ"/>
        </w:rPr>
        <w:t>v tuto chvíli disponuje jen omezeným množstvím historických dat</w:t>
      </w:r>
      <w:r w:rsidR="005376EA" w:rsidRPr="00500272">
        <w:rPr>
          <w:lang w:val="cs-CZ"/>
        </w:rPr>
        <w:t>, která by umožňovala vyhodnocení vývoje velkoobchodního trhu mobilních sítí a služeb</w:t>
      </w:r>
      <w:r w:rsidR="000F5D1A" w:rsidRPr="00500272">
        <w:rPr>
          <w:lang w:val="cs-CZ"/>
        </w:rPr>
        <w:t xml:space="preserve">. </w:t>
      </w:r>
      <w:r w:rsidRPr="00500272">
        <w:rPr>
          <w:lang w:val="cs-CZ"/>
        </w:rPr>
        <w:t xml:space="preserve">Úřad </w:t>
      </w:r>
      <w:r w:rsidR="000F5D1A" w:rsidRPr="00500272">
        <w:rPr>
          <w:lang w:val="cs-CZ"/>
        </w:rPr>
        <w:t>nicméně deklaruje záměr nadále dopady na velkoobchodní trh pečlivě monitorovat zejména s ohledem na možné stlačování marží ve vztahu k </w:t>
      </w:r>
      <w:proofErr w:type="spellStart"/>
      <w:r w:rsidR="000F5D1A" w:rsidRPr="00500272">
        <w:rPr>
          <w:lang w:val="cs-CZ"/>
        </w:rPr>
        <w:t>MVNOs</w:t>
      </w:r>
      <w:proofErr w:type="spellEnd"/>
      <w:r w:rsidR="000F5D1A" w:rsidRPr="00500272">
        <w:rPr>
          <w:lang w:val="cs-CZ"/>
        </w:rPr>
        <w:t xml:space="preserve"> a také s ohledem na možné riziko</w:t>
      </w:r>
      <w:r w:rsidR="00C15346" w:rsidRPr="00500272">
        <w:rPr>
          <w:lang w:val="cs-CZ"/>
        </w:rPr>
        <w:t xml:space="preserve"> </w:t>
      </w:r>
      <w:r w:rsidR="005376EA" w:rsidRPr="00500272">
        <w:rPr>
          <w:lang w:val="cs-CZ"/>
        </w:rPr>
        <w:t>výměny informací</w:t>
      </w:r>
      <w:r w:rsidR="000F5D1A" w:rsidRPr="00500272">
        <w:rPr>
          <w:lang w:val="cs-CZ"/>
        </w:rPr>
        <w:t xml:space="preserve"> ze strany sdílejících oper</w:t>
      </w:r>
      <w:r w:rsidR="005376EA" w:rsidRPr="00500272">
        <w:rPr>
          <w:lang w:val="cs-CZ"/>
        </w:rPr>
        <w:t>átorů, které by mohlo vyústit v</w:t>
      </w:r>
      <w:r w:rsidR="000F5D1A" w:rsidRPr="00500272">
        <w:rPr>
          <w:lang w:val="cs-CZ"/>
        </w:rPr>
        <w:t xml:space="preserve"> </w:t>
      </w:r>
      <w:r w:rsidR="005376EA" w:rsidRPr="00500272">
        <w:rPr>
          <w:lang w:val="cs-CZ"/>
        </w:rPr>
        <w:t>omezení</w:t>
      </w:r>
      <w:r w:rsidR="000F5D1A" w:rsidRPr="00500272">
        <w:rPr>
          <w:lang w:val="cs-CZ"/>
        </w:rPr>
        <w:t xml:space="preserve"> hospodářské soutěže na velkoobchodním trhu – dle zprávy OECD je vhodné, aby národní regulátor dohlédl na to, že sdílející operátoři budou nadále </w:t>
      </w:r>
      <w:r w:rsidR="00C15346" w:rsidRPr="00500272">
        <w:rPr>
          <w:lang w:val="cs-CZ"/>
        </w:rPr>
        <w:t>samostatnými velkoobchodními poskytovateli služeb ve vztahu ke sdílené infrastruktuře.</w:t>
      </w:r>
      <w:r w:rsidR="00C15346" w:rsidRPr="00500272">
        <w:rPr>
          <w:rStyle w:val="Znakapoznpodarou"/>
          <w:lang w:val="cs-CZ"/>
        </w:rPr>
        <w:footnoteReference w:id="135"/>
      </w:r>
      <w:r w:rsidR="002B18BD" w:rsidRPr="00500272">
        <w:rPr>
          <w:lang w:val="cs-CZ"/>
        </w:rPr>
        <w:t xml:space="preserve"> Z pohledu nastavení smluvního vztahu je dle názoru </w:t>
      </w:r>
      <w:r w:rsidRPr="00500272">
        <w:rPr>
          <w:lang w:val="cs-CZ"/>
        </w:rPr>
        <w:t>Úřad</w:t>
      </w:r>
      <w:r w:rsidR="003A63EF" w:rsidRPr="00500272">
        <w:rPr>
          <w:lang w:val="cs-CZ"/>
        </w:rPr>
        <w:t>u</w:t>
      </w:r>
      <w:r w:rsidRPr="00500272">
        <w:rPr>
          <w:lang w:val="cs-CZ"/>
        </w:rPr>
        <w:t xml:space="preserve"> </w:t>
      </w:r>
      <w:r w:rsidR="002B18BD" w:rsidRPr="00500272">
        <w:rPr>
          <w:lang w:val="cs-CZ"/>
        </w:rPr>
        <w:t xml:space="preserve">tento požadavek minimálně ve formální rovině naplněn (viz například popis podmínek sdílení sítí 4G v kapitole </w:t>
      </w:r>
      <w:r w:rsidR="00986A02" w:rsidRPr="00500272">
        <w:rPr>
          <w:lang w:val="cs-CZ"/>
        </w:rPr>
        <w:t>6</w:t>
      </w:r>
      <w:r w:rsidR="002B18BD" w:rsidRPr="00500272">
        <w:rPr>
          <w:lang w:val="cs-CZ"/>
        </w:rPr>
        <w:t>.3.</w:t>
      </w:r>
      <w:r w:rsidR="00F83E00" w:rsidRPr="00500272">
        <w:rPr>
          <w:lang w:val="cs-CZ"/>
        </w:rPr>
        <w:t xml:space="preserve">3 </w:t>
      </w:r>
      <w:r w:rsidR="002B18BD" w:rsidRPr="00500272">
        <w:rPr>
          <w:lang w:val="cs-CZ"/>
        </w:rPr>
        <w:t>a zachování možnosti velkoobchodní nabídky vůči třetím stranám).</w:t>
      </w:r>
    </w:p>
    <w:p w14:paraId="48793AD7" w14:textId="77777777" w:rsidR="00EB5AC2" w:rsidRPr="00C47A5C" w:rsidRDefault="008E06B9" w:rsidP="005916AF">
      <w:pPr>
        <w:pStyle w:val="Nadpis2"/>
        <w:keepNext w:val="0"/>
        <w:numPr>
          <w:ilvl w:val="1"/>
          <w:numId w:val="3"/>
        </w:numPr>
      </w:pPr>
      <w:bookmarkStart w:id="219" w:name="_Toc301423703"/>
      <w:r w:rsidRPr="00C47A5C">
        <w:t xml:space="preserve">Úspora nákladů </w:t>
      </w:r>
      <w:r w:rsidR="00167708" w:rsidRPr="00C47A5C">
        <w:t>a dopad na hospodářskou soutěž</w:t>
      </w:r>
      <w:bookmarkEnd w:id="219"/>
    </w:p>
    <w:p w14:paraId="6DD3181A" w14:textId="77777777" w:rsidR="00AF1CEF" w:rsidRPr="00475828" w:rsidRDefault="00AF1CEF" w:rsidP="005916AF">
      <w:pPr>
        <w:pStyle w:val="Nadpis2"/>
        <w:keepNext w:val="0"/>
        <w:numPr>
          <w:ilvl w:val="2"/>
          <w:numId w:val="3"/>
        </w:numPr>
        <w:rPr>
          <w:b w:val="0"/>
          <w:i/>
        </w:rPr>
      </w:pPr>
      <w:bookmarkStart w:id="220" w:name="_Toc301423704"/>
      <w:r w:rsidRPr="00475828">
        <w:rPr>
          <w:b w:val="0"/>
          <w:i/>
        </w:rPr>
        <w:t>Podmínky sdílení sítí 2G a 3G v České republice</w:t>
      </w:r>
      <w:bookmarkEnd w:id="220"/>
    </w:p>
    <w:p w14:paraId="5650A105" w14:textId="77777777" w:rsidR="00F83E00" w:rsidRDefault="00F83E00" w:rsidP="005916AF">
      <w:pPr>
        <w:ind w:firstLine="567"/>
        <w:rPr>
          <w:rFonts w:cs="Arial"/>
          <w:highlight w:val="yellow"/>
          <w:lang w:val="cs-CZ"/>
        </w:rPr>
      </w:pPr>
      <w:r>
        <w:rPr>
          <w:rFonts w:cs="Arial"/>
          <w:highlight w:val="yellow"/>
          <w:lang w:val="cs-CZ"/>
        </w:rPr>
        <w:t>[</w:t>
      </w:r>
      <w:r w:rsidRPr="00431AA8">
        <w:rPr>
          <w:rFonts w:cs="Arial"/>
          <w:i/>
          <w:highlight w:val="yellow"/>
          <w:lang w:val="cs-CZ"/>
        </w:rPr>
        <w:t>Obchodní tajemství</w:t>
      </w:r>
      <w:r>
        <w:rPr>
          <w:rFonts w:cs="Arial"/>
          <w:highlight w:val="yellow"/>
          <w:lang w:val="cs-CZ"/>
        </w:rPr>
        <w:t>]</w:t>
      </w:r>
    </w:p>
    <w:p w14:paraId="5EBE7F4A" w14:textId="77777777" w:rsidR="005E5FB1" w:rsidRPr="00475828" w:rsidRDefault="005E5FB1" w:rsidP="00C95099">
      <w:pPr>
        <w:pStyle w:val="Nadpis2"/>
        <w:numPr>
          <w:ilvl w:val="2"/>
          <w:numId w:val="3"/>
        </w:numPr>
        <w:rPr>
          <w:b w:val="0"/>
          <w:i/>
        </w:rPr>
      </w:pPr>
      <w:bookmarkStart w:id="221" w:name="_Toc301423705"/>
      <w:r w:rsidRPr="00475828">
        <w:rPr>
          <w:b w:val="0"/>
          <w:i/>
        </w:rPr>
        <w:t>Podmínky sdílení sítí 4G v České republice</w:t>
      </w:r>
      <w:bookmarkEnd w:id="221"/>
    </w:p>
    <w:p w14:paraId="4D26191E" w14:textId="77777777" w:rsidR="00F83E00" w:rsidRDefault="00F83E00" w:rsidP="005916AF">
      <w:pPr>
        <w:ind w:firstLine="567"/>
        <w:rPr>
          <w:rFonts w:cs="Arial"/>
          <w:lang w:val="cs-CZ"/>
        </w:rPr>
      </w:pPr>
      <w:r>
        <w:rPr>
          <w:rFonts w:cs="Arial"/>
          <w:highlight w:val="yellow"/>
          <w:lang w:val="cs-CZ"/>
        </w:rPr>
        <w:t>[</w:t>
      </w:r>
      <w:r w:rsidRPr="00431AA8">
        <w:rPr>
          <w:rFonts w:cs="Arial"/>
          <w:i/>
          <w:highlight w:val="yellow"/>
          <w:lang w:val="cs-CZ"/>
        </w:rPr>
        <w:t>Obchodní tajemství</w:t>
      </w:r>
      <w:r>
        <w:rPr>
          <w:rFonts w:cs="Arial"/>
          <w:highlight w:val="yellow"/>
          <w:lang w:val="cs-CZ"/>
        </w:rPr>
        <w:t>]</w:t>
      </w:r>
    </w:p>
    <w:p w14:paraId="5D1E6641" w14:textId="77777777" w:rsidR="00D87EA7" w:rsidRDefault="00D87EA7" w:rsidP="005916AF">
      <w:pPr>
        <w:pStyle w:val="Nadpis2"/>
        <w:keepNext w:val="0"/>
        <w:numPr>
          <w:ilvl w:val="2"/>
          <w:numId w:val="3"/>
        </w:numPr>
        <w:rPr>
          <w:b w:val="0"/>
          <w:i/>
        </w:rPr>
      </w:pPr>
      <w:bookmarkStart w:id="222" w:name="_Toc301423706"/>
      <w:r w:rsidRPr="00475828">
        <w:rPr>
          <w:b w:val="0"/>
          <w:i/>
        </w:rPr>
        <w:t>Vyhodnocení dopadů úspory nákladů v důsledku sdílení sítí v České republice</w:t>
      </w:r>
      <w:bookmarkEnd w:id="222"/>
    </w:p>
    <w:p w14:paraId="7245B4CF" w14:textId="77777777" w:rsidR="00F226FB" w:rsidRPr="00AC5A97" w:rsidRDefault="00F226FB" w:rsidP="00AC5A97">
      <w:pPr>
        <w:numPr>
          <w:ilvl w:val="0"/>
          <w:numId w:val="32"/>
        </w:numPr>
        <w:rPr>
          <w:i/>
          <w:lang w:val="cs-CZ"/>
        </w:rPr>
      </w:pPr>
      <w:r w:rsidRPr="00AC5A97">
        <w:rPr>
          <w:i/>
          <w:lang w:val="cs-CZ"/>
        </w:rPr>
        <w:t>Úspory provozních nákladů ze sdílení 2G/3G sítě</w:t>
      </w:r>
    </w:p>
    <w:p w14:paraId="77366A4C" w14:textId="77777777" w:rsidR="00475828" w:rsidRPr="00475828" w:rsidRDefault="00475828" w:rsidP="005916AF">
      <w:pPr>
        <w:ind w:firstLine="567"/>
        <w:rPr>
          <w:rFonts w:cs="Arial"/>
          <w:lang w:val="cs-CZ"/>
        </w:rPr>
      </w:pPr>
      <w:r w:rsidRPr="00475828">
        <w:rPr>
          <w:rFonts w:cs="Arial"/>
          <w:lang w:val="cs-CZ"/>
        </w:rPr>
        <w:t>Díky sdílení jsou náklady na údržbu a provoz infrastruktury pro sdílející operátory nižší v porovnání se stavem, kdy by každý provozoval svou vlastní infrastrukturu. V tabulce 1 jsou znázorněny celkové náklady tři největších MNO spojené s poskytováním služeb v mobilní síti za rok 2013. Dále jsou v tabulce uvedeny celkové síťové</w:t>
      </w:r>
      <w:r w:rsidR="0082201B">
        <w:rPr>
          <w:rFonts w:cs="Arial"/>
          <w:lang w:val="cs-CZ"/>
        </w:rPr>
        <w:t xml:space="preserve"> a provozní náklady, celkové a </w:t>
      </w:r>
      <w:r w:rsidRPr="00475828">
        <w:rPr>
          <w:rFonts w:cs="Arial"/>
          <w:lang w:val="cs-CZ"/>
        </w:rPr>
        <w:t>celkové provozní náklady na BTS a celkový počet aktivních SIM karet u jednotlivých operátorů za rok 2013.</w:t>
      </w:r>
    </w:p>
    <w:p w14:paraId="7D98E49C" w14:textId="77777777" w:rsidR="001D135E" w:rsidRDefault="00475828" w:rsidP="005916AF">
      <w:pPr>
        <w:rPr>
          <w:rFonts w:cs="Arial"/>
          <w:lang w:val="cs-CZ"/>
        </w:rPr>
      </w:pPr>
      <w:r w:rsidRPr="00475828">
        <w:rPr>
          <w:rFonts w:cs="Arial"/>
          <w:lang w:val="cs-CZ"/>
        </w:rPr>
        <w:t>Tabulka 1: Náklady operátorů za rok 2013</w:t>
      </w:r>
    </w:p>
    <w:p w14:paraId="6D873060" w14:textId="77777777" w:rsidR="001D135E" w:rsidRPr="00475828" w:rsidRDefault="001D135E" w:rsidP="005916AF">
      <w:pPr>
        <w:rPr>
          <w:rFonts w:cs="Arial"/>
          <w:lang w:val="cs-CZ"/>
        </w:rPr>
      </w:pPr>
      <w:r>
        <w:rPr>
          <w:rFonts w:cs="Arial"/>
          <w:highlight w:val="yellow"/>
          <w:lang w:val="cs-CZ"/>
        </w:rPr>
        <w:t>[</w:t>
      </w:r>
      <w:r w:rsidRPr="00431AA8">
        <w:rPr>
          <w:rFonts w:cs="Arial"/>
          <w:i/>
          <w:highlight w:val="yellow"/>
          <w:lang w:val="cs-CZ"/>
        </w:rPr>
        <w:t>Obchodní tajemství</w:t>
      </w:r>
      <w:r>
        <w:rPr>
          <w:rFonts w:cs="Arial"/>
          <w:highlight w:val="yellow"/>
          <w:lang w:val="cs-CZ"/>
        </w:rPr>
        <w:t>]</w:t>
      </w:r>
    </w:p>
    <w:p w14:paraId="5826C1A5" w14:textId="71796DCD" w:rsidR="00475828" w:rsidRPr="00475828" w:rsidRDefault="00475828" w:rsidP="005916AF">
      <w:pPr>
        <w:ind w:firstLine="567"/>
        <w:rPr>
          <w:rFonts w:cs="Arial"/>
          <w:lang w:val="cs-CZ"/>
        </w:rPr>
      </w:pPr>
      <w:r w:rsidRPr="00475828">
        <w:rPr>
          <w:rFonts w:cs="Arial"/>
          <w:lang w:val="cs-CZ"/>
        </w:rPr>
        <w:t>S využitím dat z této tabulky lze získat přibližnou představu o nákladech jednotlivých operátorů. Nejvyšší celkové, celkové síťové a provoz</w:t>
      </w:r>
      <w:r w:rsidR="0082201B">
        <w:rPr>
          <w:rFonts w:cs="Arial"/>
          <w:lang w:val="cs-CZ"/>
        </w:rPr>
        <w:t xml:space="preserve">ní síťové náklady má </w:t>
      </w:r>
      <w:r w:rsidR="0082201B">
        <w:rPr>
          <w:rFonts w:cs="Arial"/>
          <w:lang w:val="cs-CZ"/>
        </w:rPr>
        <w:br/>
      </w:r>
      <w:r w:rsidR="00C74630">
        <w:rPr>
          <w:rFonts w:cs="Arial"/>
          <w:highlight w:val="yellow"/>
          <w:lang w:val="cs-CZ"/>
        </w:rPr>
        <w:t>[</w:t>
      </w:r>
      <w:r w:rsidR="00C74630" w:rsidRPr="00431AA8">
        <w:rPr>
          <w:rFonts w:cs="Arial"/>
          <w:i/>
          <w:highlight w:val="yellow"/>
          <w:lang w:val="cs-CZ"/>
        </w:rPr>
        <w:t>Obchodní tajemství</w:t>
      </w:r>
      <w:r w:rsidR="00C74630">
        <w:rPr>
          <w:rFonts w:cs="Arial"/>
          <w:highlight w:val="yellow"/>
          <w:lang w:val="cs-CZ"/>
        </w:rPr>
        <w:t>],</w:t>
      </w:r>
      <w:r w:rsidRPr="00475828">
        <w:rPr>
          <w:rFonts w:cs="Arial"/>
          <w:lang w:val="cs-CZ"/>
        </w:rPr>
        <w:t xml:space="preserve"> je to dáno především počtem aktivních SIM karet a rozsahem celé sítě. Ovšem celkové roční náklady na BTS má nejvyšší </w:t>
      </w:r>
      <w:r w:rsidR="00C74630">
        <w:rPr>
          <w:rFonts w:cs="Arial"/>
          <w:highlight w:val="yellow"/>
          <w:lang w:val="cs-CZ"/>
        </w:rPr>
        <w:t>[</w:t>
      </w:r>
      <w:r w:rsidR="00C74630" w:rsidRPr="00431AA8">
        <w:rPr>
          <w:rFonts w:cs="Arial"/>
          <w:i/>
          <w:highlight w:val="yellow"/>
          <w:lang w:val="cs-CZ"/>
        </w:rPr>
        <w:t>Obchodní tajemství</w:t>
      </w:r>
      <w:r w:rsidR="00C74630">
        <w:rPr>
          <w:rFonts w:cs="Arial"/>
          <w:highlight w:val="yellow"/>
          <w:lang w:val="cs-CZ"/>
        </w:rPr>
        <w:t>]</w:t>
      </w:r>
      <w:r w:rsidRPr="00475828">
        <w:rPr>
          <w:rFonts w:cs="Arial"/>
          <w:lang w:val="cs-CZ"/>
        </w:rPr>
        <w:t xml:space="preserve"> stejně tak jako celkové roční provozní náklady na BTS, pravděpodobně díky hustší a starší síti BTS.</w:t>
      </w:r>
    </w:p>
    <w:p w14:paraId="61DFB965" w14:textId="380EF145" w:rsidR="00475828" w:rsidRPr="00033D33" w:rsidRDefault="00475828" w:rsidP="00033D33">
      <w:pPr>
        <w:ind w:firstLine="567"/>
        <w:rPr>
          <w:rFonts w:cs="Arial"/>
          <w:lang w:val="cs-CZ"/>
        </w:rPr>
      </w:pPr>
      <w:r w:rsidRPr="00475828">
        <w:rPr>
          <w:rFonts w:cs="Arial"/>
          <w:lang w:val="cs-CZ"/>
        </w:rPr>
        <w:t>Pokud by každý sdílející operátor uspořil polovinu</w:t>
      </w:r>
      <w:r w:rsidR="00031D90">
        <w:rPr>
          <w:rFonts w:cs="Arial"/>
          <w:lang w:val="cs-CZ"/>
        </w:rPr>
        <w:t xml:space="preserve"> provozních</w:t>
      </w:r>
      <w:r w:rsidRPr="00475828">
        <w:rPr>
          <w:rFonts w:cs="Arial"/>
          <w:lang w:val="cs-CZ"/>
        </w:rPr>
        <w:t xml:space="preserve"> nákladů na BTS, dospěl by k roční úspoře nákladů na jednu aktivní SIM kartu ve výši </w:t>
      </w:r>
      <w:r w:rsidR="001D135E">
        <w:rPr>
          <w:rFonts w:cs="Arial"/>
          <w:highlight w:val="yellow"/>
          <w:lang w:val="cs-CZ"/>
        </w:rPr>
        <w:t>[</w:t>
      </w:r>
      <w:r w:rsidR="001D135E" w:rsidRPr="00431AA8">
        <w:rPr>
          <w:rFonts w:cs="Arial"/>
          <w:i/>
          <w:highlight w:val="yellow"/>
          <w:lang w:val="cs-CZ"/>
        </w:rPr>
        <w:t>Obchodní tajemství</w:t>
      </w:r>
      <w:r w:rsidR="001D135E">
        <w:rPr>
          <w:rFonts w:cs="Arial"/>
          <w:highlight w:val="yellow"/>
          <w:lang w:val="cs-CZ"/>
        </w:rPr>
        <w:t>]</w:t>
      </w:r>
    </w:p>
    <w:p w14:paraId="5ED84B74" w14:textId="254E3058" w:rsidR="00475828" w:rsidRPr="00475828" w:rsidRDefault="00475828" w:rsidP="005916AF">
      <w:pPr>
        <w:ind w:firstLine="567"/>
        <w:rPr>
          <w:rFonts w:cs="Arial"/>
          <w:lang w:val="cs-CZ"/>
        </w:rPr>
      </w:pPr>
      <w:r w:rsidRPr="00475828">
        <w:rPr>
          <w:rFonts w:cs="Arial"/>
          <w:lang w:val="cs-CZ"/>
        </w:rPr>
        <w:t>Část těchto úspor by ale byla vykompenzována dodatečnými investicemi (</w:t>
      </w:r>
      <w:r w:rsidR="00EF17E7">
        <w:rPr>
          <w:rFonts w:cs="Arial"/>
          <w:highlight w:val="yellow"/>
          <w:lang w:val="cs-CZ"/>
        </w:rPr>
        <w:t>[</w:t>
      </w:r>
      <w:r w:rsidR="00EF17E7" w:rsidRPr="00431AA8">
        <w:rPr>
          <w:rFonts w:cs="Arial"/>
          <w:i/>
          <w:highlight w:val="yellow"/>
          <w:lang w:val="cs-CZ"/>
        </w:rPr>
        <w:t>Obchodní tajemství</w:t>
      </w:r>
      <w:r w:rsidR="00EF17E7">
        <w:rPr>
          <w:rFonts w:cs="Arial"/>
          <w:highlight w:val="yellow"/>
          <w:lang w:val="cs-CZ"/>
        </w:rPr>
        <w:t>]</w:t>
      </w:r>
      <w:r w:rsidRPr="00475828">
        <w:rPr>
          <w:rFonts w:cs="Arial"/>
          <w:lang w:val="cs-CZ"/>
        </w:rPr>
        <w:t>) na posílení kapacity sítě v příslušné části území sdílejícího operátora. Pokud by došlo k navýšení počtu BTS jednotlivých operátorů v jimi spravovaných částech republiky</w:t>
      </w:r>
      <w:r w:rsidR="00EF17E7">
        <w:rPr>
          <w:rFonts w:cs="Arial"/>
          <w:highlight w:val="yellow"/>
          <w:lang w:val="cs-CZ"/>
        </w:rPr>
        <w:t>[</w:t>
      </w:r>
      <w:r w:rsidR="00EF17E7" w:rsidRPr="00431AA8">
        <w:rPr>
          <w:rFonts w:cs="Arial"/>
          <w:i/>
          <w:highlight w:val="yellow"/>
          <w:lang w:val="cs-CZ"/>
        </w:rPr>
        <w:t>Obchodní tajemství</w:t>
      </w:r>
      <w:r w:rsidR="00EF17E7">
        <w:rPr>
          <w:rFonts w:cs="Arial"/>
          <w:highlight w:val="yellow"/>
          <w:lang w:val="cs-CZ"/>
        </w:rPr>
        <w:t>]</w:t>
      </w:r>
      <w:r w:rsidR="00DC236A">
        <w:rPr>
          <w:rFonts w:cs="Arial"/>
          <w:lang w:val="cs-CZ"/>
        </w:rPr>
        <w:t>,</w:t>
      </w:r>
      <w:r w:rsidRPr="00475828">
        <w:rPr>
          <w:rFonts w:cs="Arial"/>
          <w:lang w:val="cs-CZ"/>
        </w:rPr>
        <w:t xml:space="preserve"> došlo by následně i k proporčnímu navýšení provozních nákladů spojených s těmito novými BTS. Celková úspora provozních nákladů na BTS by v tom případě činila přibližně </w:t>
      </w:r>
      <w:r w:rsidR="00A91E80">
        <w:rPr>
          <w:rFonts w:cs="Arial"/>
          <w:highlight w:val="yellow"/>
          <w:lang w:val="cs-CZ"/>
        </w:rPr>
        <w:t>[</w:t>
      </w:r>
      <w:r w:rsidR="00A91E80" w:rsidRPr="00431AA8">
        <w:rPr>
          <w:rFonts w:cs="Arial"/>
          <w:i/>
          <w:highlight w:val="yellow"/>
          <w:lang w:val="cs-CZ"/>
        </w:rPr>
        <w:t>Obchodní tajemství</w:t>
      </w:r>
      <w:r w:rsidR="00A91E80">
        <w:rPr>
          <w:rFonts w:cs="Arial"/>
          <w:highlight w:val="yellow"/>
          <w:lang w:val="cs-CZ"/>
        </w:rPr>
        <w:t>]</w:t>
      </w:r>
      <w:r w:rsidRPr="00475828">
        <w:rPr>
          <w:rFonts w:cs="Arial"/>
          <w:lang w:val="cs-CZ"/>
        </w:rPr>
        <w:t xml:space="preserve">% současných ročních provozních nákladů na BTS. Roční úspora nákladů na jednu SIM kartu by pak činila přibližně </w:t>
      </w:r>
      <w:r w:rsidR="001D135E">
        <w:rPr>
          <w:rFonts w:cs="Arial"/>
          <w:highlight w:val="yellow"/>
          <w:lang w:val="cs-CZ"/>
        </w:rPr>
        <w:t>[</w:t>
      </w:r>
      <w:r w:rsidR="001D135E" w:rsidRPr="00431AA8">
        <w:rPr>
          <w:rFonts w:cs="Arial"/>
          <w:i/>
          <w:highlight w:val="yellow"/>
          <w:lang w:val="cs-CZ"/>
        </w:rPr>
        <w:t>Obchodní tajemství</w:t>
      </w:r>
      <w:r w:rsidR="001D135E">
        <w:rPr>
          <w:rFonts w:cs="Arial"/>
          <w:highlight w:val="yellow"/>
          <w:lang w:val="cs-CZ"/>
        </w:rPr>
        <w:t>]</w:t>
      </w:r>
    </w:p>
    <w:p w14:paraId="2AD39355" w14:textId="04349AC5" w:rsidR="00475828" w:rsidRPr="00475828" w:rsidRDefault="00475828" w:rsidP="005916AF">
      <w:pPr>
        <w:ind w:firstLine="567"/>
        <w:rPr>
          <w:rFonts w:cs="Arial"/>
          <w:lang w:val="cs-CZ"/>
        </w:rPr>
      </w:pPr>
      <w:r w:rsidRPr="00475828">
        <w:rPr>
          <w:rFonts w:cs="Arial"/>
          <w:lang w:val="cs-CZ"/>
        </w:rPr>
        <w:t xml:space="preserve">Z výše popsaného také vyplývá, že nejvíce na tomto sdílení absolutně ušetří </w:t>
      </w:r>
      <w:r w:rsidR="00C74630">
        <w:rPr>
          <w:rFonts w:cs="Arial"/>
          <w:highlight w:val="yellow"/>
          <w:lang w:val="cs-CZ"/>
        </w:rPr>
        <w:t>[</w:t>
      </w:r>
      <w:r w:rsidR="00C74630" w:rsidRPr="00431AA8">
        <w:rPr>
          <w:rFonts w:cs="Arial"/>
          <w:i/>
          <w:highlight w:val="yellow"/>
          <w:lang w:val="cs-CZ"/>
        </w:rPr>
        <w:t>Obchodní tajemství</w:t>
      </w:r>
      <w:r w:rsidR="00C74630">
        <w:rPr>
          <w:rFonts w:cs="Arial"/>
          <w:highlight w:val="yellow"/>
          <w:lang w:val="cs-CZ"/>
        </w:rPr>
        <w:t>]</w:t>
      </w:r>
      <w:r w:rsidRPr="00475828">
        <w:rPr>
          <w:rFonts w:cs="Arial"/>
          <w:lang w:val="cs-CZ"/>
        </w:rPr>
        <w:t>, kdy</w:t>
      </w:r>
      <w:r w:rsidR="00DC236A">
        <w:rPr>
          <w:rFonts w:cs="Arial"/>
          <w:lang w:val="cs-CZ"/>
        </w:rPr>
        <w:t> </w:t>
      </w:r>
      <w:r w:rsidRPr="00475828">
        <w:rPr>
          <w:rFonts w:cs="Arial"/>
          <w:lang w:val="cs-CZ"/>
        </w:rPr>
        <w:t>celkové roční provozní náklady na BTS se sdílením budo</w:t>
      </w:r>
      <w:r w:rsidR="0082201B">
        <w:rPr>
          <w:rFonts w:cs="Arial"/>
          <w:lang w:val="cs-CZ"/>
        </w:rPr>
        <w:t xml:space="preserve">u činit přibližně </w:t>
      </w:r>
      <w:r w:rsidR="001D135E">
        <w:rPr>
          <w:rFonts w:cs="Arial"/>
          <w:highlight w:val="yellow"/>
          <w:lang w:val="cs-CZ"/>
        </w:rPr>
        <w:t>[</w:t>
      </w:r>
      <w:r w:rsidR="001D135E" w:rsidRPr="00431AA8">
        <w:rPr>
          <w:rFonts w:cs="Arial"/>
          <w:i/>
          <w:highlight w:val="yellow"/>
          <w:lang w:val="cs-CZ"/>
        </w:rPr>
        <w:t>Obchodní tajemství</w:t>
      </w:r>
      <w:r w:rsidR="001D135E">
        <w:rPr>
          <w:rFonts w:cs="Arial"/>
          <w:highlight w:val="yellow"/>
          <w:lang w:val="cs-CZ"/>
        </w:rPr>
        <w:t>]</w:t>
      </w:r>
    </w:p>
    <w:p w14:paraId="11C7F6D4" w14:textId="77777777" w:rsidR="00475828" w:rsidRPr="00AC5A97" w:rsidRDefault="00475828" w:rsidP="00AC5A97">
      <w:pPr>
        <w:numPr>
          <w:ilvl w:val="0"/>
          <w:numId w:val="32"/>
        </w:numPr>
        <w:rPr>
          <w:i/>
          <w:lang w:val="cs-CZ"/>
        </w:rPr>
      </w:pPr>
      <w:r w:rsidRPr="00AC5A97">
        <w:rPr>
          <w:i/>
          <w:lang w:val="cs-CZ"/>
        </w:rPr>
        <w:t>Postavení mimo</w:t>
      </w:r>
      <w:r w:rsidR="00033D33">
        <w:rPr>
          <w:i/>
          <w:lang w:val="cs-CZ"/>
        </w:rPr>
        <w:t xml:space="preserve"> </w:t>
      </w:r>
      <w:r w:rsidRPr="00AC5A97">
        <w:rPr>
          <w:i/>
          <w:lang w:val="cs-CZ"/>
        </w:rPr>
        <w:t>stojícího soutěžitele</w:t>
      </w:r>
    </w:p>
    <w:p w14:paraId="3F54D96A" w14:textId="71221B9B" w:rsidR="00475828" w:rsidRPr="00475828" w:rsidRDefault="00475828" w:rsidP="005916AF">
      <w:pPr>
        <w:ind w:firstLine="567"/>
        <w:rPr>
          <w:rFonts w:cs="Arial"/>
          <w:lang w:val="cs-CZ"/>
        </w:rPr>
      </w:pPr>
      <w:r w:rsidRPr="00475828">
        <w:rPr>
          <w:rFonts w:cs="Arial"/>
          <w:lang w:val="cs-CZ"/>
        </w:rPr>
        <w:t>Vodafone má relativně novou 2G a 3G síť, která nepotřebuje dále rozšiřovat, proto se dá předpokládat, že náklady na provoz budou konstantní a investice budou spíše směřovat do</w:t>
      </w:r>
      <w:r w:rsidR="00DC236A">
        <w:rPr>
          <w:rFonts w:cs="Arial"/>
          <w:lang w:val="cs-CZ"/>
        </w:rPr>
        <w:t> </w:t>
      </w:r>
      <w:r w:rsidRPr="00475828">
        <w:rPr>
          <w:rFonts w:cs="Arial"/>
          <w:lang w:val="cs-CZ"/>
        </w:rPr>
        <w:t xml:space="preserve">LTE sítě. Úřad má za to, že nákladové znevýhodnění v rozpětí od </w:t>
      </w:r>
      <w:r w:rsidR="001D135E">
        <w:rPr>
          <w:rFonts w:cs="Arial"/>
          <w:highlight w:val="yellow"/>
          <w:lang w:val="cs-CZ"/>
        </w:rPr>
        <w:t>[</w:t>
      </w:r>
      <w:r w:rsidR="001D135E" w:rsidRPr="00431AA8">
        <w:rPr>
          <w:rFonts w:cs="Arial"/>
          <w:i/>
          <w:highlight w:val="yellow"/>
          <w:lang w:val="cs-CZ"/>
        </w:rPr>
        <w:t>Obchodní tajemství</w:t>
      </w:r>
      <w:r w:rsidR="001D135E">
        <w:rPr>
          <w:rFonts w:cs="Arial"/>
          <w:highlight w:val="yellow"/>
          <w:lang w:val="cs-CZ"/>
        </w:rPr>
        <w:t>]</w:t>
      </w:r>
      <w:r w:rsidRPr="00475828">
        <w:rPr>
          <w:rFonts w:cs="Arial"/>
          <w:lang w:val="cs-CZ"/>
        </w:rPr>
        <w:t xml:space="preserve"> na SIM kartu a</w:t>
      </w:r>
      <w:r w:rsidR="00247FC2">
        <w:rPr>
          <w:rFonts w:cs="Arial"/>
          <w:lang w:val="cs-CZ"/>
        </w:rPr>
        <w:t> </w:t>
      </w:r>
      <w:r w:rsidRPr="00475828">
        <w:rPr>
          <w:rFonts w:cs="Arial"/>
          <w:lang w:val="cs-CZ"/>
        </w:rPr>
        <w:t>měsíc nepředstavuje zásadní dopad na Vodafone a podle Úřadu by toto nevedlo k vytlačení mimo</w:t>
      </w:r>
      <w:r w:rsidR="00033D33">
        <w:rPr>
          <w:rFonts w:cs="Arial"/>
          <w:lang w:val="cs-CZ"/>
        </w:rPr>
        <w:t xml:space="preserve"> </w:t>
      </w:r>
      <w:r w:rsidRPr="00475828">
        <w:rPr>
          <w:rFonts w:cs="Arial"/>
          <w:lang w:val="cs-CZ"/>
        </w:rPr>
        <w:t>stojícího soutěžitele z mobilního trhu. V tabulce 2 jsou uvedeny jednotlivé průměrné výnosy na jednoho zákazníka (ARPU).</w:t>
      </w:r>
    </w:p>
    <w:p w14:paraId="7C881D89" w14:textId="7BCFCB33" w:rsidR="005A3E44" w:rsidRPr="00475828" w:rsidRDefault="00475828" w:rsidP="00C95099">
      <w:pPr>
        <w:keepNext/>
        <w:rPr>
          <w:rFonts w:cs="Arial"/>
          <w:lang w:val="cs-CZ"/>
        </w:rPr>
      </w:pPr>
      <w:r w:rsidRPr="00475828">
        <w:rPr>
          <w:rFonts w:cs="Arial"/>
          <w:lang w:val="cs-CZ"/>
        </w:rPr>
        <w:t>Tabulka 2: ARPU za rok 2013</w:t>
      </w:r>
      <w:r w:rsidR="003B7B62">
        <w:rPr>
          <w:rFonts w:cs="Arial"/>
          <w:lang w:val="cs-CZ"/>
        </w:rPr>
        <w:t xml:space="preserve"> </w:t>
      </w:r>
      <w:r w:rsidR="003B7B62">
        <w:rPr>
          <w:rFonts w:cs="Arial"/>
          <w:highlight w:val="yellow"/>
          <w:lang w:val="cs-CZ"/>
        </w:rPr>
        <w:t>[</w:t>
      </w:r>
      <w:r w:rsidR="003B7B62" w:rsidRPr="00431AA8">
        <w:rPr>
          <w:rFonts w:cs="Arial"/>
          <w:i/>
          <w:highlight w:val="yellow"/>
          <w:lang w:val="cs-CZ"/>
        </w:rPr>
        <w:t>Obchodní tajemství</w:t>
      </w:r>
      <w:r w:rsidR="003B7B62">
        <w:rPr>
          <w:rFonts w:cs="Arial"/>
          <w:highlight w:val="yellow"/>
          <w:lang w:val="cs-CZ"/>
        </w:rPr>
        <w:t>]</w:t>
      </w:r>
      <w:r w:rsidR="00F92B40">
        <w:rPr>
          <w:rFonts w:cs="Arial"/>
          <w:lang w:val="cs-CZ"/>
        </w:rPr>
        <w:t xml:space="preserve"> </w:t>
      </w:r>
    </w:p>
    <w:tbl>
      <w:tblPr>
        <w:tblW w:w="8354" w:type="dxa"/>
        <w:tblCellMar>
          <w:left w:w="70" w:type="dxa"/>
          <w:right w:w="70" w:type="dxa"/>
        </w:tblCellMar>
        <w:tblLook w:val="04A0" w:firstRow="1" w:lastRow="0" w:firstColumn="1" w:lastColumn="0" w:noHBand="0" w:noVBand="1"/>
      </w:tblPr>
      <w:tblGrid>
        <w:gridCol w:w="2542"/>
        <w:gridCol w:w="1984"/>
        <w:gridCol w:w="1985"/>
        <w:gridCol w:w="1843"/>
      </w:tblGrid>
      <w:tr w:rsidR="005A3E44" w:rsidRPr="005A3E44" w14:paraId="19C64FF3" w14:textId="77777777" w:rsidTr="005A3E44">
        <w:trPr>
          <w:trHeight w:val="257"/>
        </w:trPr>
        <w:tc>
          <w:tcPr>
            <w:tcW w:w="2542" w:type="dxa"/>
            <w:tcBorders>
              <w:top w:val="single" w:sz="8" w:space="0" w:color="auto"/>
              <w:left w:val="single" w:sz="8" w:space="0" w:color="auto"/>
              <w:bottom w:val="single" w:sz="4" w:space="0" w:color="auto"/>
              <w:right w:val="single" w:sz="4" w:space="0" w:color="auto"/>
            </w:tcBorders>
            <w:shd w:val="clear" w:color="000000" w:fill="9BC2E6"/>
            <w:noWrap/>
            <w:vAlign w:val="bottom"/>
            <w:hideMark/>
          </w:tcPr>
          <w:p w14:paraId="0CE213F9" w14:textId="77777777" w:rsidR="005A3E44" w:rsidRPr="005A3E44" w:rsidRDefault="005A3E44" w:rsidP="005A3E44">
            <w:pPr>
              <w:spacing w:before="0" w:after="0" w:line="240" w:lineRule="auto"/>
              <w:jc w:val="left"/>
              <w:rPr>
                <w:rFonts w:ascii="Calibri" w:hAnsi="Calibri"/>
                <w:color w:val="FFFFFF"/>
                <w:sz w:val="22"/>
                <w:szCs w:val="22"/>
                <w:lang w:val="cs-CZ" w:eastAsia="cs-CZ"/>
              </w:rPr>
            </w:pPr>
            <w:r w:rsidRPr="005A3E44">
              <w:rPr>
                <w:rFonts w:ascii="Calibri" w:hAnsi="Calibri"/>
                <w:color w:val="FFFFFF"/>
                <w:sz w:val="22"/>
                <w:szCs w:val="22"/>
                <w:lang w:val="cs-CZ" w:eastAsia="cs-CZ"/>
              </w:rPr>
              <w:t> </w:t>
            </w:r>
          </w:p>
        </w:tc>
        <w:tc>
          <w:tcPr>
            <w:tcW w:w="1984" w:type="dxa"/>
            <w:tcBorders>
              <w:top w:val="single" w:sz="8" w:space="0" w:color="auto"/>
              <w:left w:val="single" w:sz="4" w:space="0" w:color="auto"/>
              <w:bottom w:val="single" w:sz="4" w:space="0" w:color="auto"/>
              <w:right w:val="single" w:sz="4" w:space="0" w:color="auto"/>
            </w:tcBorders>
            <w:shd w:val="clear" w:color="000000" w:fill="9BC2E6"/>
            <w:noWrap/>
            <w:vAlign w:val="bottom"/>
            <w:hideMark/>
          </w:tcPr>
          <w:p w14:paraId="5824ED08" w14:textId="77777777" w:rsidR="005A3E44" w:rsidRPr="005A3E44" w:rsidRDefault="005A3E44" w:rsidP="005A3E44">
            <w:pPr>
              <w:spacing w:before="0" w:after="0" w:line="240" w:lineRule="auto"/>
              <w:jc w:val="center"/>
              <w:rPr>
                <w:rFonts w:ascii="Calibri" w:hAnsi="Calibri"/>
                <w:b/>
                <w:bCs/>
                <w:color w:val="FFFFFF"/>
                <w:sz w:val="22"/>
                <w:szCs w:val="22"/>
                <w:lang w:val="cs-CZ" w:eastAsia="cs-CZ"/>
              </w:rPr>
            </w:pPr>
            <w:r w:rsidRPr="005A3E44">
              <w:rPr>
                <w:rFonts w:ascii="Calibri" w:hAnsi="Calibri"/>
                <w:b/>
                <w:bCs/>
                <w:color w:val="FFFFFF"/>
                <w:sz w:val="22"/>
                <w:szCs w:val="22"/>
                <w:lang w:val="cs-CZ" w:eastAsia="cs-CZ"/>
              </w:rPr>
              <w:t>O2</w:t>
            </w:r>
          </w:p>
        </w:tc>
        <w:tc>
          <w:tcPr>
            <w:tcW w:w="1985" w:type="dxa"/>
            <w:tcBorders>
              <w:top w:val="single" w:sz="8" w:space="0" w:color="auto"/>
              <w:left w:val="nil"/>
              <w:bottom w:val="single" w:sz="4" w:space="0" w:color="auto"/>
              <w:right w:val="single" w:sz="4" w:space="0" w:color="auto"/>
            </w:tcBorders>
            <w:shd w:val="clear" w:color="000000" w:fill="9BC2E6"/>
            <w:noWrap/>
            <w:vAlign w:val="bottom"/>
            <w:hideMark/>
          </w:tcPr>
          <w:p w14:paraId="1BA620E1" w14:textId="77777777" w:rsidR="005A3E44" w:rsidRPr="005A3E44" w:rsidRDefault="007E352C" w:rsidP="005A3E44">
            <w:pPr>
              <w:spacing w:before="0" w:after="0" w:line="240" w:lineRule="auto"/>
              <w:jc w:val="center"/>
              <w:rPr>
                <w:rFonts w:ascii="Calibri" w:hAnsi="Calibri"/>
                <w:b/>
                <w:bCs/>
                <w:color w:val="FFFFFF"/>
                <w:sz w:val="22"/>
                <w:szCs w:val="22"/>
                <w:lang w:val="cs-CZ" w:eastAsia="cs-CZ"/>
              </w:rPr>
            </w:pPr>
            <w:r>
              <w:rPr>
                <w:rFonts w:ascii="Calibri" w:hAnsi="Calibri"/>
                <w:b/>
                <w:bCs/>
                <w:color w:val="FFFFFF"/>
                <w:sz w:val="22"/>
                <w:szCs w:val="22"/>
                <w:lang w:val="cs-CZ" w:eastAsia="cs-CZ"/>
              </w:rPr>
              <w:t>TMCZ</w:t>
            </w:r>
          </w:p>
        </w:tc>
        <w:tc>
          <w:tcPr>
            <w:tcW w:w="1843" w:type="dxa"/>
            <w:tcBorders>
              <w:top w:val="single" w:sz="8" w:space="0" w:color="auto"/>
              <w:left w:val="nil"/>
              <w:bottom w:val="single" w:sz="4" w:space="0" w:color="auto"/>
              <w:right w:val="single" w:sz="8" w:space="0" w:color="auto"/>
            </w:tcBorders>
            <w:shd w:val="clear" w:color="000000" w:fill="9BC2E6"/>
            <w:noWrap/>
            <w:vAlign w:val="bottom"/>
            <w:hideMark/>
          </w:tcPr>
          <w:p w14:paraId="4F480A77" w14:textId="77777777" w:rsidR="005A3E44" w:rsidRPr="005A3E44" w:rsidRDefault="005A3E44" w:rsidP="005A3E44">
            <w:pPr>
              <w:spacing w:before="0" w:after="0" w:line="240" w:lineRule="auto"/>
              <w:jc w:val="center"/>
              <w:rPr>
                <w:rFonts w:ascii="Calibri" w:hAnsi="Calibri"/>
                <w:b/>
                <w:bCs/>
                <w:color w:val="FFFFFF"/>
                <w:sz w:val="22"/>
                <w:szCs w:val="22"/>
                <w:lang w:val="cs-CZ" w:eastAsia="cs-CZ"/>
              </w:rPr>
            </w:pPr>
            <w:r w:rsidRPr="005A3E44">
              <w:rPr>
                <w:rFonts w:ascii="Calibri" w:hAnsi="Calibri"/>
                <w:b/>
                <w:bCs/>
                <w:color w:val="FFFFFF"/>
                <w:sz w:val="22"/>
                <w:szCs w:val="22"/>
                <w:lang w:val="cs-CZ" w:eastAsia="cs-CZ"/>
              </w:rPr>
              <w:t>Vodafone</w:t>
            </w:r>
          </w:p>
        </w:tc>
      </w:tr>
      <w:tr w:rsidR="005A3E44" w:rsidRPr="005A3E44" w14:paraId="4BBC4F12" w14:textId="77777777" w:rsidTr="005A3E44">
        <w:trPr>
          <w:trHeight w:val="257"/>
        </w:trPr>
        <w:tc>
          <w:tcPr>
            <w:tcW w:w="2542" w:type="dxa"/>
            <w:tcBorders>
              <w:top w:val="single" w:sz="4" w:space="0" w:color="auto"/>
              <w:left w:val="single" w:sz="8" w:space="0" w:color="auto"/>
              <w:bottom w:val="single" w:sz="4" w:space="0" w:color="auto"/>
              <w:right w:val="single" w:sz="4" w:space="0" w:color="auto"/>
            </w:tcBorders>
            <w:shd w:val="clear" w:color="000000" w:fill="9BC2E6"/>
            <w:noWrap/>
            <w:vAlign w:val="bottom"/>
            <w:hideMark/>
          </w:tcPr>
          <w:p w14:paraId="67F5D326" w14:textId="77777777" w:rsidR="005A3E44" w:rsidRPr="005A3E44" w:rsidRDefault="005A3E44" w:rsidP="005A3E44">
            <w:pPr>
              <w:spacing w:before="0" w:after="0" w:line="240" w:lineRule="auto"/>
              <w:jc w:val="left"/>
              <w:rPr>
                <w:rFonts w:ascii="Calibri" w:hAnsi="Calibri"/>
                <w:b/>
                <w:bCs/>
                <w:color w:val="FFFFFF"/>
                <w:sz w:val="22"/>
                <w:szCs w:val="22"/>
                <w:lang w:val="cs-CZ" w:eastAsia="cs-CZ"/>
              </w:rPr>
            </w:pPr>
            <w:r w:rsidRPr="005A3E44">
              <w:rPr>
                <w:rFonts w:ascii="Calibri" w:hAnsi="Calibri"/>
                <w:b/>
                <w:bCs/>
                <w:color w:val="FFFFFF"/>
                <w:sz w:val="22"/>
                <w:szCs w:val="22"/>
                <w:lang w:val="cs-CZ" w:eastAsia="cs-CZ"/>
              </w:rPr>
              <w:t>ARPU celkové</w:t>
            </w:r>
          </w:p>
        </w:tc>
        <w:tc>
          <w:tcPr>
            <w:tcW w:w="1984" w:type="dxa"/>
            <w:tcBorders>
              <w:top w:val="nil"/>
              <w:left w:val="nil"/>
              <w:bottom w:val="single" w:sz="4" w:space="0" w:color="auto"/>
              <w:right w:val="single" w:sz="4" w:space="0" w:color="auto"/>
            </w:tcBorders>
            <w:shd w:val="clear" w:color="000000" w:fill="FFFFFF"/>
            <w:noWrap/>
            <w:vAlign w:val="bottom"/>
            <w:hideMark/>
          </w:tcPr>
          <w:p w14:paraId="5CB249A5" w14:textId="77777777" w:rsidR="005A3E44" w:rsidRPr="005A3E44" w:rsidRDefault="005A3E44" w:rsidP="005A3E44">
            <w:pPr>
              <w:spacing w:before="0" w:after="0" w:line="240" w:lineRule="auto"/>
              <w:jc w:val="center"/>
              <w:rPr>
                <w:rFonts w:ascii="Calibri" w:hAnsi="Calibri"/>
                <w:color w:val="000000"/>
                <w:sz w:val="22"/>
                <w:szCs w:val="22"/>
                <w:lang w:val="cs-CZ" w:eastAsia="cs-CZ"/>
              </w:rPr>
            </w:pPr>
            <w:proofErr w:type="spellStart"/>
            <w:r w:rsidRPr="005A3E44">
              <w:rPr>
                <w:rFonts w:ascii="Calibri" w:hAnsi="Calibri"/>
                <w:color w:val="000000"/>
                <w:sz w:val="22"/>
                <w:szCs w:val="22"/>
                <w:highlight w:val="black"/>
                <w:lang w:val="cs-CZ" w:eastAsia="cs-CZ"/>
              </w:rPr>
              <w:t>xxx</w:t>
            </w:r>
            <w:proofErr w:type="spellEnd"/>
          </w:p>
        </w:tc>
        <w:tc>
          <w:tcPr>
            <w:tcW w:w="1985" w:type="dxa"/>
            <w:tcBorders>
              <w:top w:val="nil"/>
              <w:left w:val="nil"/>
              <w:bottom w:val="single" w:sz="4" w:space="0" w:color="auto"/>
              <w:right w:val="single" w:sz="4" w:space="0" w:color="auto"/>
            </w:tcBorders>
            <w:shd w:val="clear" w:color="000000" w:fill="FFFFFF"/>
            <w:noWrap/>
            <w:vAlign w:val="bottom"/>
            <w:hideMark/>
          </w:tcPr>
          <w:p w14:paraId="3EC02DE9" w14:textId="77777777" w:rsidR="005A3E44" w:rsidRPr="005A3E44" w:rsidRDefault="005A3E44" w:rsidP="005A3E44">
            <w:pPr>
              <w:spacing w:before="0" w:after="0" w:line="240" w:lineRule="auto"/>
              <w:jc w:val="center"/>
              <w:rPr>
                <w:rFonts w:ascii="Calibri" w:hAnsi="Calibri"/>
                <w:color w:val="000000"/>
                <w:sz w:val="22"/>
                <w:szCs w:val="22"/>
                <w:lang w:val="cs-CZ" w:eastAsia="cs-CZ"/>
              </w:rPr>
            </w:pPr>
            <w:proofErr w:type="spellStart"/>
            <w:r w:rsidRPr="005A3E44">
              <w:rPr>
                <w:rFonts w:ascii="Calibri" w:hAnsi="Calibri"/>
                <w:color w:val="000000"/>
                <w:sz w:val="22"/>
                <w:szCs w:val="22"/>
                <w:highlight w:val="black"/>
                <w:lang w:val="cs-CZ" w:eastAsia="cs-CZ"/>
              </w:rPr>
              <w:t>xxx</w:t>
            </w:r>
            <w:proofErr w:type="spellEnd"/>
          </w:p>
        </w:tc>
        <w:tc>
          <w:tcPr>
            <w:tcW w:w="1843" w:type="dxa"/>
            <w:tcBorders>
              <w:top w:val="nil"/>
              <w:left w:val="nil"/>
              <w:bottom w:val="single" w:sz="4" w:space="0" w:color="auto"/>
              <w:right w:val="single" w:sz="8" w:space="0" w:color="auto"/>
            </w:tcBorders>
            <w:shd w:val="clear" w:color="000000" w:fill="FFFFFF"/>
            <w:noWrap/>
            <w:vAlign w:val="bottom"/>
            <w:hideMark/>
          </w:tcPr>
          <w:p w14:paraId="6DAE1DDB" w14:textId="77777777" w:rsidR="005A3E44" w:rsidRPr="005A3E44" w:rsidRDefault="005A3E44" w:rsidP="005A3E44">
            <w:pPr>
              <w:spacing w:before="0" w:after="0" w:line="240" w:lineRule="auto"/>
              <w:jc w:val="center"/>
              <w:rPr>
                <w:rFonts w:ascii="Calibri" w:hAnsi="Calibri"/>
                <w:color w:val="000000"/>
                <w:sz w:val="22"/>
                <w:szCs w:val="22"/>
                <w:lang w:val="cs-CZ" w:eastAsia="cs-CZ"/>
              </w:rPr>
            </w:pPr>
            <w:proofErr w:type="spellStart"/>
            <w:r w:rsidRPr="005A3E44">
              <w:rPr>
                <w:rFonts w:ascii="Calibri" w:hAnsi="Calibri"/>
                <w:color w:val="000000"/>
                <w:sz w:val="22"/>
                <w:szCs w:val="22"/>
                <w:highlight w:val="black"/>
                <w:lang w:val="cs-CZ" w:eastAsia="cs-CZ"/>
              </w:rPr>
              <w:t>xxx</w:t>
            </w:r>
            <w:proofErr w:type="spellEnd"/>
          </w:p>
        </w:tc>
      </w:tr>
      <w:tr w:rsidR="005A3E44" w:rsidRPr="005A3E44" w14:paraId="693D417E" w14:textId="77777777" w:rsidTr="005A3E44">
        <w:trPr>
          <w:trHeight w:val="257"/>
        </w:trPr>
        <w:tc>
          <w:tcPr>
            <w:tcW w:w="2542" w:type="dxa"/>
            <w:tcBorders>
              <w:top w:val="nil"/>
              <w:left w:val="single" w:sz="8" w:space="0" w:color="auto"/>
              <w:bottom w:val="single" w:sz="4" w:space="0" w:color="auto"/>
              <w:right w:val="single" w:sz="4" w:space="0" w:color="auto"/>
            </w:tcBorders>
            <w:shd w:val="clear" w:color="000000" w:fill="9BC2E6"/>
            <w:noWrap/>
            <w:vAlign w:val="bottom"/>
            <w:hideMark/>
          </w:tcPr>
          <w:p w14:paraId="123250C4" w14:textId="77777777" w:rsidR="005A3E44" w:rsidRPr="005A3E44" w:rsidRDefault="005A3E44" w:rsidP="005A3E44">
            <w:pPr>
              <w:spacing w:before="0" w:after="0" w:line="240" w:lineRule="auto"/>
              <w:jc w:val="left"/>
              <w:rPr>
                <w:rFonts w:ascii="Calibri" w:hAnsi="Calibri"/>
                <w:b/>
                <w:bCs/>
                <w:color w:val="FFFFFF"/>
                <w:sz w:val="22"/>
                <w:szCs w:val="22"/>
                <w:lang w:val="cs-CZ" w:eastAsia="cs-CZ"/>
              </w:rPr>
            </w:pPr>
            <w:r w:rsidRPr="005A3E44">
              <w:rPr>
                <w:rFonts w:ascii="Calibri" w:hAnsi="Calibri"/>
                <w:b/>
                <w:bCs/>
                <w:color w:val="FFFFFF"/>
                <w:sz w:val="22"/>
                <w:szCs w:val="22"/>
                <w:lang w:val="cs-CZ" w:eastAsia="cs-CZ"/>
              </w:rPr>
              <w:t>ARPU za datové karty</w:t>
            </w:r>
          </w:p>
        </w:tc>
        <w:tc>
          <w:tcPr>
            <w:tcW w:w="1984" w:type="dxa"/>
            <w:tcBorders>
              <w:top w:val="nil"/>
              <w:left w:val="nil"/>
              <w:bottom w:val="single" w:sz="4" w:space="0" w:color="auto"/>
              <w:right w:val="single" w:sz="4" w:space="0" w:color="auto"/>
            </w:tcBorders>
            <w:shd w:val="clear" w:color="000000" w:fill="FFFFFF"/>
            <w:noWrap/>
            <w:vAlign w:val="bottom"/>
            <w:hideMark/>
          </w:tcPr>
          <w:p w14:paraId="2F511FE8" w14:textId="77777777" w:rsidR="005A3E44" w:rsidRPr="005A3E44" w:rsidRDefault="005A3E44" w:rsidP="005A3E44">
            <w:pPr>
              <w:spacing w:before="0" w:after="0" w:line="240" w:lineRule="auto"/>
              <w:jc w:val="center"/>
              <w:rPr>
                <w:rFonts w:ascii="Calibri" w:hAnsi="Calibri"/>
                <w:color w:val="000000"/>
                <w:sz w:val="22"/>
                <w:szCs w:val="22"/>
                <w:lang w:val="cs-CZ" w:eastAsia="cs-CZ"/>
              </w:rPr>
            </w:pPr>
            <w:proofErr w:type="spellStart"/>
            <w:r w:rsidRPr="005A3E44">
              <w:rPr>
                <w:rFonts w:ascii="Calibri" w:hAnsi="Calibri"/>
                <w:color w:val="000000"/>
                <w:sz w:val="22"/>
                <w:szCs w:val="22"/>
                <w:highlight w:val="black"/>
                <w:lang w:val="cs-CZ" w:eastAsia="cs-CZ"/>
              </w:rPr>
              <w:t>xxx</w:t>
            </w:r>
            <w:proofErr w:type="spellEnd"/>
          </w:p>
        </w:tc>
        <w:tc>
          <w:tcPr>
            <w:tcW w:w="1985" w:type="dxa"/>
            <w:tcBorders>
              <w:top w:val="nil"/>
              <w:left w:val="nil"/>
              <w:bottom w:val="single" w:sz="4" w:space="0" w:color="auto"/>
              <w:right w:val="single" w:sz="4" w:space="0" w:color="auto"/>
            </w:tcBorders>
            <w:shd w:val="clear" w:color="000000" w:fill="FFFFFF"/>
            <w:noWrap/>
            <w:vAlign w:val="bottom"/>
            <w:hideMark/>
          </w:tcPr>
          <w:p w14:paraId="5641E3AB" w14:textId="77777777" w:rsidR="005A3E44" w:rsidRPr="005A3E44" w:rsidRDefault="005A3E44" w:rsidP="005A3E44">
            <w:pPr>
              <w:spacing w:before="0" w:after="0" w:line="240" w:lineRule="auto"/>
              <w:jc w:val="center"/>
              <w:rPr>
                <w:rFonts w:ascii="Calibri" w:hAnsi="Calibri"/>
                <w:color w:val="000000"/>
                <w:sz w:val="22"/>
                <w:szCs w:val="22"/>
                <w:lang w:val="cs-CZ" w:eastAsia="cs-CZ"/>
              </w:rPr>
            </w:pPr>
            <w:proofErr w:type="spellStart"/>
            <w:r w:rsidRPr="005A3E44">
              <w:rPr>
                <w:rFonts w:ascii="Calibri" w:hAnsi="Calibri"/>
                <w:color w:val="000000"/>
                <w:sz w:val="22"/>
                <w:szCs w:val="22"/>
                <w:highlight w:val="black"/>
                <w:lang w:val="cs-CZ" w:eastAsia="cs-CZ"/>
              </w:rPr>
              <w:t>xxx</w:t>
            </w:r>
            <w:proofErr w:type="spellEnd"/>
          </w:p>
        </w:tc>
        <w:tc>
          <w:tcPr>
            <w:tcW w:w="1843" w:type="dxa"/>
            <w:tcBorders>
              <w:top w:val="nil"/>
              <w:left w:val="nil"/>
              <w:bottom w:val="single" w:sz="4" w:space="0" w:color="auto"/>
              <w:right w:val="single" w:sz="8" w:space="0" w:color="auto"/>
            </w:tcBorders>
            <w:shd w:val="clear" w:color="000000" w:fill="FFFFFF"/>
            <w:noWrap/>
            <w:vAlign w:val="bottom"/>
            <w:hideMark/>
          </w:tcPr>
          <w:p w14:paraId="38C7EF8A" w14:textId="77777777" w:rsidR="005A3E44" w:rsidRPr="005A3E44" w:rsidRDefault="005A3E44" w:rsidP="005A3E44">
            <w:pPr>
              <w:spacing w:before="0" w:after="0" w:line="240" w:lineRule="auto"/>
              <w:jc w:val="center"/>
              <w:rPr>
                <w:rFonts w:ascii="Calibri" w:hAnsi="Calibri"/>
                <w:color w:val="000000"/>
                <w:sz w:val="22"/>
                <w:szCs w:val="22"/>
                <w:lang w:val="cs-CZ" w:eastAsia="cs-CZ"/>
              </w:rPr>
            </w:pPr>
            <w:proofErr w:type="spellStart"/>
            <w:r w:rsidRPr="005A3E44">
              <w:rPr>
                <w:rFonts w:ascii="Calibri" w:hAnsi="Calibri"/>
                <w:color w:val="000000"/>
                <w:sz w:val="22"/>
                <w:szCs w:val="22"/>
                <w:highlight w:val="black"/>
                <w:lang w:val="cs-CZ" w:eastAsia="cs-CZ"/>
              </w:rPr>
              <w:t>xxx</w:t>
            </w:r>
            <w:proofErr w:type="spellEnd"/>
          </w:p>
        </w:tc>
      </w:tr>
      <w:tr w:rsidR="005A3E44" w:rsidRPr="005A3E44" w14:paraId="2EAB973A" w14:textId="77777777" w:rsidTr="005A3E44">
        <w:trPr>
          <w:trHeight w:val="270"/>
        </w:trPr>
        <w:tc>
          <w:tcPr>
            <w:tcW w:w="2542" w:type="dxa"/>
            <w:tcBorders>
              <w:top w:val="nil"/>
              <w:left w:val="single" w:sz="8" w:space="0" w:color="auto"/>
              <w:bottom w:val="single" w:sz="8" w:space="0" w:color="auto"/>
              <w:right w:val="single" w:sz="4" w:space="0" w:color="auto"/>
            </w:tcBorders>
            <w:shd w:val="clear" w:color="000000" w:fill="9BC2E6"/>
            <w:noWrap/>
            <w:vAlign w:val="bottom"/>
            <w:hideMark/>
          </w:tcPr>
          <w:p w14:paraId="6E068019" w14:textId="77777777" w:rsidR="005A3E44" w:rsidRPr="005A3E44" w:rsidRDefault="005A3E44" w:rsidP="005A3E44">
            <w:pPr>
              <w:spacing w:before="0" w:after="0" w:line="240" w:lineRule="auto"/>
              <w:jc w:val="left"/>
              <w:rPr>
                <w:rFonts w:ascii="Calibri" w:hAnsi="Calibri"/>
                <w:b/>
                <w:bCs/>
                <w:color w:val="FFFFFF"/>
                <w:sz w:val="22"/>
                <w:szCs w:val="22"/>
                <w:lang w:val="cs-CZ" w:eastAsia="cs-CZ"/>
              </w:rPr>
            </w:pPr>
            <w:r w:rsidRPr="005A3E44">
              <w:rPr>
                <w:rFonts w:ascii="Calibri" w:hAnsi="Calibri"/>
                <w:b/>
                <w:bCs/>
                <w:color w:val="FFFFFF"/>
                <w:sz w:val="22"/>
                <w:szCs w:val="22"/>
                <w:lang w:val="cs-CZ" w:eastAsia="cs-CZ"/>
              </w:rPr>
              <w:t>ARPU bez datových karet</w:t>
            </w:r>
          </w:p>
        </w:tc>
        <w:tc>
          <w:tcPr>
            <w:tcW w:w="1984" w:type="dxa"/>
            <w:tcBorders>
              <w:top w:val="nil"/>
              <w:left w:val="nil"/>
              <w:bottom w:val="single" w:sz="8" w:space="0" w:color="auto"/>
              <w:right w:val="single" w:sz="4" w:space="0" w:color="auto"/>
            </w:tcBorders>
            <w:shd w:val="clear" w:color="000000" w:fill="FFFFFF"/>
            <w:noWrap/>
            <w:vAlign w:val="bottom"/>
            <w:hideMark/>
          </w:tcPr>
          <w:p w14:paraId="0A6D2C8E" w14:textId="77777777" w:rsidR="005A3E44" w:rsidRPr="005A3E44" w:rsidRDefault="005A3E44" w:rsidP="005A3E44">
            <w:pPr>
              <w:spacing w:before="0" w:after="0" w:line="240" w:lineRule="auto"/>
              <w:jc w:val="center"/>
              <w:rPr>
                <w:rFonts w:ascii="Calibri" w:hAnsi="Calibri"/>
                <w:color w:val="000000"/>
                <w:sz w:val="22"/>
                <w:szCs w:val="22"/>
                <w:lang w:val="cs-CZ" w:eastAsia="cs-CZ"/>
              </w:rPr>
            </w:pPr>
            <w:proofErr w:type="spellStart"/>
            <w:r w:rsidRPr="005A3E44">
              <w:rPr>
                <w:rFonts w:ascii="Calibri" w:hAnsi="Calibri"/>
                <w:color w:val="000000"/>
                <w:sz w:val="22"/>
                <w:szCs w:val="22"/>
                <w:highlight w:val="black"/>
                <w:lang w:val="cs-CZ" w:eastAsia="cs-CZ"/>
              </w:rPr>
              <w:t>xxx</w:t>
            </w:r>
            <w:proofErr w:type="spellEnd"/>
          </w:p>
        </w:tc>
        <w:tc>
          <w:tcPr>
            <w:tcW w:w="1985" w:type="dxa"/>
            <w:tcBorders>
              <w:top w:val="nil"/>
              <w:left w:val="nil"/>
              <w:bottom w:val="single" w:sz="8" w:space="0" w:color="auto"/>
              <w:right w:val="single" w:sz="4" w:space="0" w:color="auto"/>
            </w:tcBorders>
            <w:shd w:val="clear" w:color="000000" w:fill="FFFFFF"/>
            <w:noWrap/>
            <w:vAlign w:val="bottom"/>
            <w:hideMark/>
          </w:tcPr>
          <w:p w14:paraId="1953059A" w14:textId="77777777" w:rsidR="005A3E44" w:rsidRPr="005A3E44" w:rsidRDefault="005A3E44" w:rsidP="005A3E44">
            <w:pPr>
              <w:spacing w:before="0" w:after="0" w:line="240" w:lineRule="auto"/>
              <w:jc w:val="center"/>
              <w:rPr>
                <w:rFonts w:ascii="Calibri" w:hAnsi="Calibri"/>
                <w:color w:val="000000"/>
                <w:sz w:val="22"/>
                <w:szCs w:val="22"/>
                <w:lang w:val="cs-CZ" w:eastAsia="cs-CZ"/>
              </w:rPr>
            </w:pPr>
            <w:proofErr w:type="spellStart"/>
            <w:r w:rsidRPr="005A3E44">
              <w:rPr>
                <w:rFonts w:ascii="Calibri" w:hAnsi="Calibri"/>
                <w:color w:val="000000"/>
                <w:sz w:val="22"/>
                <w:szCs w:val="22"/>
                <w:highlight w:val="black"/>
                <w:lang w:val="cs-CZ" w:eastAsia="cs-CZ"/>
              </w:rPr>
              <w:t>xxx</w:t>
            </w:r>
            <w:proofErr w:type="spellEnd"/>
          </w:p>
        </w:tc>
        <w:tc>
          <w:tcPr>
            <w:tcW w:w="1843" w:type="dxa"/>
            <w:tcBorders>
              <w:top w:val="nil"/>
              <w:left w:val="nil"/>
              <w:bottom w:val="single" w:sz="8" w:space="0" w:color="auto"/>
              <w:right w:val="single" w:sz="8" w:space="0" w:color="auto"/>
            </w:tcBorders>
            <w:shd w:val="clear" w:color="000000" w:fill="FFFFFF"/>
            <w:noWrap/>
            <w:vAlign w:val="bottom"/>
            <w:hideMark/>
          </w:tcPr>
          <w:p w14:paraId="210A9966" w14:textId="77777777" w:rsidR="005A3E44" w:rsidRPr="005A3E44" w:rsidRDefault="005A3E44" w:rsidP="005A3E44">
            <w:pPr>
              <w:spacing w:before="0" w:after="0" w:line="240" w:lineRule="auto"/>
              <w:jc w:val="center"/>
              <w:rPr>
                <w:rFonts w:ascii="Calibri" w:hAnsi="Calibri"/>
                <w:color w:val="000000"/>
                <w:sz w:val="22"/>
                <w:szCs w:val="22"/>
                <w:lang w:val="cs-CZ" w:eastAsia="cs-CZ"/>
              </w:rPr>
            </w:pPr>
            <w:proofErr w:type="spellStart"/>
            <w:r w:rsidRPr="005A3E44">
              <w:rPr>
                <w:rFonts w:ascii="Calibri" w:hAnsi="Calibri"/>
                <w:color w:val="000000"/>
                <w:sz w:val="22"/>
                <w:szCs w:val="22"/>
                <w:highlight w:val="black"/>
                <w:lang w:val="cs-CZ" w:eastAsia="cs-CZ"/>
              </w:rPr>
              <w:t>xxx</w:t>
            </w:r>
            <w:proofErr w:type="spellEnd"/>
          </w:p>
        </w:tc>
      </w:tr>
    </w:tbl>
    <w:p w14:paraId="1E5AA859" w14:textId="77777777" w:rsidR="00475828" w:rsidRPr="00475828" w:rsidRDefault="00475828" w:rsidP="005A3E44">
      <w:pPr>
        <w:spacing w:before="0"/>
        <w:rPr>
          <w:rFonts w:cs="Arial"/>
          <w:lang w:val="cs-CZ"/>
        </w:rPr>
      </w:pPr>
      <w:r w:rsidRPr="00475828">
        <w:rPr>
          <w:rFonts w:cs="Arial"/>
          <w:lang w:val="cs-CZ"/>
        </w:rPr>
        <w:t>Zdroj: ESD, vlastní výpočty</w:t>
      </w:r>
    </w:p>
    <w:p w14:paraId="16F922AB" w14:textId="675BCB2C" w:rsidR="00475828" w:rsidRPr="00475828" w:rsidRDefault="00475828" w:rsidP="005916AF">
      <w:pPr>
        <w:ind w:firstLine="567"/>
        <w:rPr>
          <w:rFonts w:cs="Arial"/>
          <w:lang w:val="cs-CZ"/>
        </w:rPr>
      </w:pPr>
      <w:r w:rsidRPr="00475828">
        <w:rPr>
          <w:rFonts w:cs="Arial"/>
          <w:lang w:val="cs-CZ"/>
        </w:rPr>
        <w:t xml:space="preserve">Pro lepší představu je vhodnější rozdělit SIM karty na datové karty a SIM karty s kombinovaným využitím služeb (hlas, zprávy a data). Nejvyšší ARPU za datové karty má </w:t>
      </w:r>
      <w:r w:rsidR="00C74630">
        <w:rPr>
          <w:rFonts w:cs="Arial"/>
          <w:highlight w:val="yellow"/>
          <w:lang w:val="cs-CZ"/>
        </w:rPr>
        <w:t>[</w:t>
      </w:r>
      <w:r w:rsidR="00C74630" w:rsidRPr="00431AA8">
        <w:rPr>
          <w:rFonts w:cs="Arial"/>
          <w:i/>
          <w:highlight w:val="yellow"/>
          <w:lang w:val="cs-CZ"/>
        </w:rPr>
        <w:t>Obchodní tajemství</w:t>
      </w:r>
      <w:r w:rsidR="00C74630">
        <w:rPr>
          <w:rFonts w:cs="Arial"/>
          <w:highlight w:val="yellow"/>
          <w:lang w:val="cs-CZ"/>
        </w:rPr>
        <w:t>]</w:t>
      </w:r>
      <w:r w:rsidRPr="00475828">
        <w:rPr>
          <w:rFonts w:cs="Arial"/>
          <w:lang w:val="cs-CZ"/>
        </w:rPr>
        <w:t xml:space="preserve">a nejnižší </w:t>
      </w:r>
      <w:r w:rsidR="00C74630">
        <w:rPr>
          <w:rFonts w:cs="Arial"/>
          <w:highlight w:val="yellow"/>
          <w:lang w:val="cs-CZ"/>
        </w:rPr>
        <w:t>[</w:t>
      </w:r>
      <w:r w:rsidR="00C74630" w:rsidRPr="00431AA8">
        <w:rPr>
          <w:rFonts w:cs="Arial"/>
          <w:i/>
          <w:highlight w:val="yellow"/>
          <w:lang w:val="cs-CZ"/>
        </w:rPr>
        <w:t>Obchodní tajemství</w:t>
      </w:r>
      <w:r w:rsidR="00C74630">
        <w:rPr>
          <w:rFonts w:cs="Arial"/>
          <w:highlight w:val="yellow"/>
          <w:lang w:val="cs-CZ"/>
        </w:rPr>
        <w:t>]</w:t>
      </w:r>
      <w:r w:rsidR="00AC3AD5">
        <w:rPr>
          <w:rFonts w:cs="Arial"/>
          <w:lang w:val="cs-CZ"/>
        </w:rPr>
        <w:t xml:space="preserve">. </w:t>
      </w:r>
      <w:r w:rsidRPr="00475828">
        <w:rPr>
          <w:rFonts w:cs="Arial"/>
          <w:lang w:val="cs-CZ"/>
        </w:rPr>
        <w:t xml:space="preserve">Ovšem u celkového a ARPU bez datových karet má nejvyšší průměrné příjmy na zákazníka </w:t>
      </w:r>
      <w:r w:rsidR="00C74630">
        <w:rPr>
          <w:rFonts w:cs="Arial"/>
          <w:highlight w:val="yellow"/>
          <w:lang w:val="cs-CZ"/>
        </w:rPr>
        <w:t>[</w:t>
      </w:r>
      <w:r w:rsidR="00C74630" w:rsidRPr="00431AA8">
        <w:rPr>
          <w:rFonts w:cs="Arial"/>
          <w:i/>
          <w:highlight w:val="yellow"/>
          <w:lang w:val="cs-CZ"/>
        </w:rPr>
        <w:t>Obchodní tajemství</w:t>
      </w:r>
      <w:r w:rsidR="00C74630">
        <w:rPr>
          <w:rFonts w:cs="Arial"/>
          <w:highlight w:val="yellow"/>
          <w:lang w:val="cs-CZ"/>
        </w:rPr>
        <w:t>]</w:t>
      </w:r>
      <w:r w:rsidRPr="00475828">
        <w:rPr>
          <w:rFonts w:cs="Arial"/>
          <w:lang w:val="cs-CZ"/>
        </w:rPr>
        <w:t>.</w:t>
      </w:r>
      <w:r w:rsidR="00AC3AD5">
        <w:rPr>
          <w:rFonts w:cs="Arial"/>
          <w:lang w:val="cs-CZ"/>
        </w:rPr>
        <w:t xml:space="preserve"> </w:t>
      </w:r>
    </w:p>
    <w:p w14:paraId="6EB3C6C5" w14:textId="3142E6FB" w:rsidR="00475828" w:rsidRPr="00475828" w:rsidRDefault="00475828" w:rsidP="005916AF">
      <w:pPr>
        <w:ind w:firstLine="567"/>
        <w:rPr>
          <w:rFonts w:cs="Arial"/>
          <w:lang w:val="cs-CZ"/>
        </w:rPr>
      </w:pPr>
      <w:r w:rsidRPr="00475828">
        <w:rPr>
          <w:rFonts w:cs="Arial"/>
          <w:lang w:val="cs-CZ"/>
        </w:rPr>
        <w:t>Pro základní posouzení otázky, zda společnost Vodafone v důsledku nákladového znevýhodnění může být nucena opustit trh, je možné velmi zjednodušeně odhadnout velikost nákladové výhody, která ze sdílení sítí plyne. Čím menší je úspora na jednotku (např.</w:t>
      </w:r>
      <w:r w:rsidR="00DC236A">
        <w:rPr>
          <w:rFonts w:cs="Arial"/>
          <w:lang w:val="cs-CZ"/>
        </w:rPr>
        <w:t> </w:t>
      </w:r>
      <w:r w:rsidRPr="00475828">
        <w:rPr>
          <w:rFonts w:cs="Arial"/>
          <w:lang w:val="cs-CZ"/>
        </w:rPr>
        <w:t>na</w:t>
      </w:r>
      <w:r w:rsidR="00DC236A">
        <w:rPr>
          <w:rFonts w:cs="Arial"/>
          <w:lang w:val="cs-CZ"/>
        </w:rPr>
        <w:t> </w:t>
      </w:r>
      <w:r w:rsidRPr="00475828">
        <w:rPr>
          <w:rFonts w:cs="Arial"/>
          <w:lang w:val="cs-CZ"/>
        </w:rPr>
        <w:t>zákazníka), tím menší je přirozeně riziko, že by sdílení mohlo způsobit odchod mimo</w:t>
      </w:r>
      <w:r w:rsidR="001D135E">
        <w:rPr>
          <w:rFonts w:cs="Arial"/>
          <w:lang w:val="cs-CZ"/>
        </w:rPr>
        <w:t xml:space="preserve"> </w:t>
      </w:r>
      <w:r w:rsidRPr="00475828">
        <w:rPr>
          <w:rFonts w:cs="Arial"/>
          <w:lang w:val="cs-CZ"/>
        </w:rPr>
        <w:t>stojícího operátora z trhu. Na tomto příkladu, i s využitím ARPU, lze ilustrovat, že</w:t>
      </w:r>
      <w:r w:rsidR="00DC236A">
        <w:rPr>
          <w:rFonts w:cs="Arial"/>
          <w:lang w:val="cs-CZ"/>
        </w:rPr>
        <w:t> </w:t>
      </w:r>
      <w:r w:rsidRPr="00475828">
        <w:rPr>
          <w:rFonts w:cs="Arial"/>
          <w:lang w:val="cs-CZ"/>
        </w:rPr>
        <w:t>i</w:t>
      </w:r>
      <w:r w:rsidR="00DC236A">
        <w:rPr>
          <w:rFonts w:cs="Arial"/>
          <w:lang w:val="cs-CZ"/>
        </w:rPr>
        <w:t> </w:t>
      </w:r>
      <w:r w:rsidRPr="00475828">
        <w:rPr>
          <w:rFonts w:cs="Arial"/>
          <w:lang w:val="cs-CZ"/>
        </w:rPr>
        <w:t>kdyby</w:t>
      </w:r>
      <w:r w:rsidR="00DC236A">
        <w:rPr>
          <w:rFonts w:cs="Arial"/>
          <w:lang w:val="cs-CZ"/>
        </w:rPr>
        <w:t> </w:t>
      </w:r>
      <w:r w:rsidRPr="00475828">
        <w:rPr>
          <w:rFonts w:cs="Arial"/>
          <w:lang w:val="cs-CZ"/>
        </w:rPr>
        <w:t xml:space="preserve">se průměrně snížily náklady sdílejících operátorů o </w:t>
      </w:r>
      <w:r w:rsidR="001D135E">
        <w:rPr>
          <w:rFonts w:cs="Arial"/>
          <w:highlight w:val="yellow"/>
          <w:lang w:val="cs-CZ"/>
        </w:rPr>
        <w:t>[</w:t>
      </w:r>
      <w:r w:rsidR="001D135E" w:rsidRPr="00431AA8">
        <w:rPr>
          <w:rFonts w:cs="Arial"/>
          <w:i/>
          <w:highlight w:val="yellow"/>
          <w:lang w:val="cs-CZ"/>
        </w:rPr>
        <w:t xml:space="preserve">Obchodní </w:t>
      </w:r>
      <w:r w:rsidR="001D135E" w:rsidRPr="000D6202">
        <w:rPr>
          <w:rFonts w:cs="Arial"/>
          <w:i/>
          <w:highlight w:val="yellow"/>
          <w:lang w:val="cs-CZ"/>
        </w:rPr>
        <w:t>tajemství</w:t>
      </w:r>
      <w:r w:rsidR="001D135E" w:rsidRPr="000D6202">
        <w:rPr>
          <w:rFonts w:cs="Arial"/>
          <w:highlight w:val="yellow"/>
          <w:lang w:val="cs-CZ"/>
        </w:rPr>
        <w:t>]</w:t>
      </w:r>
      <w:r w:rsidRPr="00475828">
        <w:rPr>
          <w:rFonts w:cs="Arial"/>
          <w:lang w:val="cs-CZ"/>
        </w:rPr>
        <w:t>na SIM kartu a měsíc, Vodafone by to pravděpodobně nepřinutilo opustit z tohoto důvodu trh v České republice.</w:t>
      </w:r>
    </w:p>
    <w:p w14:paraId="01DD6CCE" w14:textId="77777777" w:rsidR="00475828" w:rsidRPr="00475828" w:rsidRDefault="00475828" w:rsidP="005916AF">
      <w:pPr>
        <w:ind w:firstLine="567"/>
        <w:rPr>
          <w:rFonts w:cs="Arial"/>
          <w:lang w:val="cs-CZ"/>
        </w:rPr>
      </w:pPr>
      <w:r w:rsidRPr="00475828">
        <w:rPr>
          <w:rFonts w:cs="Arial"/>
          <w:lang w:val="cs-CZ"/>
        </w:rPr>
        <w:t>Jak ukazují případy ze zahraničí, díky sdílení stávající sítě 2G a 3G budou sdílející operátoři disponovat nadbytečnou infrastrukturou (stožáry, stanovišti pro BTS, pozemky atd.).</w:t>
      </w:r>
      <w:r w:rsidR="00A02B6E">
        <w:rPr>
          <w:rFonts w:cs="Arial"/>
          <w:lang w:val="cs-CZ"/>
        </w:rPr>
        <w:t xml:space="preserve"> </w:t>
      </w:r>
      <w:r w:rsidRPr="00475828">
        <w:rPr>
          <w:rFonts w:cs="Arial"/>
          <w:lang w:val="cs-CZ"/>
        </w:rPr>
        <w:t>Tuto volnou infrastrukturu mohou operátoři nabídnout k prodeji. Nabízí se</w:t>
      </w:r>
      <w:r w:rsidR="00DC236A">
        <w:rPr>
          <w:rFonts w:cs="Arial"/>
          <w:lang w:val="cs-CZ"/>
        </w:rPr>
        <w:t xml:space="preserve"> varianta</w:t>
      </w:r>
      <w:r w:rsidRPr="00475828">
        <w:rPr>
          <w:rFonts w:cs="Arial"/>
          <w:lang w:val="cs-CZ"/>
        </w:rPr>
        <w:t xml:space="preserve">, že tuto infrastrukturu může odkoupit nesdílející operátor, popřípadě tato možnost může být impulsem pro vstup nového potencionálního operátora.  </w:t>
      </w:r>
    </w:p>
    <w:p w14:paraId="26A3CA6B" w14:textId="77777777" w:rsidR="00475828" w:rsidRPr="00475828" w:rsidRDefault="00475828" w:rsidP="005916AF">
      <w:pPr>
        <w:ind w:firstLine="567"/>
        <w:rPr>
          <w:rFonts w:cs="Arial"/>
          <w:lang w:val="cs-CZ"/>
        </w:rPr>
      </w:pPr>
      <w:r w:rsidRPr="00475828">
        <w:rPr>
          <w:rFonts w:cs="Arial"/>
          <w:lang w:val="cs-CZ"/>
        </w:rPr>
        <w:t>Dá se spíše předpokládat konkurenční boj, který povede k přínosům pro koncové uživatele na maloobchodním trhu v podobě kvalitnějších služeb, pokrytí území, které je dosud bez signálu či nižších cen. Díky existenci mimo</w:t>
      </w:r>
      <w:r w:rsidR="001D135E">
        <w:rPr>
          <w:rFonts w:cs="Arial"/>
          <w:lang w:val="cs-CZ"/>
        </w:rPr>
        <w:t xml:space="preserve"> </w:t>
      </w:r>
      <w:r w:rsidRPr="00475828">
        <w:rPr>
          <w:rFonts w:cs="Arial"/>
          <w:lang w:val="cs-CZ"/>
        </w:rPr>
        <w:t>stojícího operátora a konkurenčního tlaku, budou sdílející operátoři nuceni investovat do modernizace a inovací ve své síti v kratších intervalech, než kdyby tu mimo</w:t>
      </w:r>
      <w:r w:rsidR="001D135E">
        <w:rPr>
          <w:rFonts w:cs="Arial"/>
          <w:lang w:val="cs-CZ"/>
        </w:rPr>
        <w:t xml:space="preserve"> </w:t>
      </w:r>
      <w:r w:rsidRPr="00475828">
        <w:rPr>
          <w:rFonts w:cs="Arial"/>
          <w:lang w:val="cs-CZ"/>
        </w:rPr>
        <w:t>stojící operátor nebyl.</w:t>
      </w:r>
    </w:p>
    <w:p w14:paraId="74992B75" w14:textId="77777777" w:rsidR="00475828" w:rsidRPr="00AC5A97" w:rsidRDefault="00475828" w:rsidP="00AC5A97">
      <w:pPr>
        <w:numPr>
          <w:ilvl w:val="0"/>
          <w:numId w:val="32"/>
        </w:numPr>
        <w:rPr>
          <w:i/>
          <w:lang w:val="cs-CZ"/>
        </w:rPr>
      </w:pPr>
      <w:r w:rsidRPr="00AC5A97">
        <w:rPr>
          <w:i/>
          <w:lang w:val="cs-CZ"/>
        </w:rPr>
        <w:t xml:space="preserve">Úspory provozních nákladů </w:t>
      </w:r>
      <w:r w:rsidR="00F226FB" w:rsidRPr="00AC5A97">
        <w:rPr>
          <w:i/>
          <w:lang w:val="cs-CZ"/>
        </w:rPr>
        <w:t>ze</w:t>
      </w:r>
      <w:r w:rsidRPr="00AC5A97">
        <w:rPr>
          <w:i/>
          <w:lang w:val="cs-CZ"/>
        </w:rPr>
        <w:t xml:space="preserve"> sdílení </w:t>
      </w:r>
      <w:r w:rsidR="00F226FB" w:rsidRPr="00AC5A97">
        <w:rPr>
          <w:i/>
          <w:lang w:val="cs-CZ"/>
        </w:rPr>
        <w:t xml:space="preserve">4G </w:t>
      </w:r>
      <w:r w:rsidRPr="00AC5A97">
        <w:rPr>
          <w:i/>
          <w:lang w:val="cs-CZ"/>
        </w:rPr>
        <w:t>sítě</w:t>
      </w:r>
    </w:p>
    <w:p w14:paraId="33252E60" w14:textId="135783A5" w:rsidR="00AF4481" w:rsidRDefault="00475828" w:rsidP="005916AF">
      <w:pPr>
        <w:ind w:firstLine="567"/>
        <w:rPr>
          <w:rFonts w:cs="Arial"/>
          <w:lang w:val="cs-CZ"/>
        </w:rPr>
      </w:pPr>
      <w:r w:rsidRPr="00475828">
        <w:rPr>
          <w:rFonts w:cs="Arial"/>
          <w:lang w:val="cs-CZ"/>
        </w:rPr>
        <w:t>Podobně jako u sdílení sítí 2G a 3G lze předpokládat rychlejší pokrytí, než jak určují rozvojová kritéria z aukce kmitočtů</w:t>
      </w:r>
      <w:r w:rsidR="00DC236A">
        <w:rPr>
          <w:rFonts w:cs="Arial"/>
          <w:lang w:val="cs-CZ"/>
        </w:rPr>
        <w:t>,</w:t>
      </w:r>
      <w:r w:rsidRPr="00475828">
        <w:rPr>
          <w:rFonts w:cs="Arial"/>
          <w:lang w:val="cs-CZ"/>
        </w:rPr>
        <w:t xml:space="preserve"> a rychlejší zavedení inovací, a to díky snížení nákladů na vybudování a provoz sítě 4G. </w:t>
      </w:r>
      <w:r w:rsidR="006C2A9C">
        <w:rPr>
          <w:rFonts w:cs="Arial"/>
          <w:lang w:val="cs-CZ"/>
        </w:rPr>
        <w:t xml:space="preserve">Úřad není v tuto chvílí díky implementaci nové technologie </w:t>
      </w:r>
      <w:r w:rsidR="00F226FB">
        <w:rPr>
          <w:rFonts w:cs="Arial"/>
          <w:lang w:val="cs-CZ"/>
        </w:rPr>
        <w:t xml:space="preserve">schopen </w:t>
      </w:r>
      <w:r w:rsidR="006C2A9C">
        <w:rPr>
          <w:rFonts w:cs="Arial"/>
          <w:lang w:val="cs-CZ"/>
        </w:rPr>
        <w:t xml:space="preserve">vypočítat úspory z minulých dat. Ovšem díky </w:t>
      </w:r>
      <w:r w:rsidR="003A4AD7">
        <w:rPr>
          <w:rFonts w:cs="Arial"/>
          <w:lang w:val="cs-CZ"/>
        </w:rPr>
        <w:t>analýzám</w:t>
      </w:r>
      <w:r w:rsidR="006C2A9C">
        <w:rPr>
          <w:rFonts w:cs="Arial"/>
          <w:lang w:val="cs-CZ"/>
        </w:rPr>
        <w:t xml:space="preserve"> sdílejících operátorů lze v</w:t>
      </w:r>
      <w:r w:rsidR="00F226FB">
        <w:rPr>
          <w:rFonts w:cs="Arial"/>
          <w:lang w:val="cs-CZ"/>
        </w:rPr>
        <w:t>yčíst</w:t>
      </w:r>
      <w:r w:rsidR="006C2A9C">
        <w:rPr>
          <w:rFonts w:cs="Arial"/>
          <w:lang w:val="cs-CZ"/>
        </w:rPr>
        <w:t xml:space="preserve"> úspory ze sdílení sítě 4G.</w:t>
      </w:r>
      <w:r w:rsidR="00AF4481">
        <w:rPr>
          <w:rFonts w:cs="Arial"/>
          <w:lang w:val="cs-CZ"/>
        </w:rPr>
        <w:t xml:space="preserve"> Následující tabulka znázorňuje</w:t>
      </w:r>
      <w:r w:rsidR="003A4AD7">
        <w:rPr>
          <w:rFonts w:cs="Arial"/>
          <w:lang w:val="cs-CZ"/>
        </w:rPr>
        <w:t xml:space="preserve"> předpokládané investiční a </w:t>
      </w:r>
      <w:r w:rsidR="00AF4481">
        <w:rPr>
          <w:rFonts w:cs="Arial"/>
          <w:lang w:val="cs-CZ"/>
        </w:rPr>
        <w:t xml:space="preserve">provozní </w:t>
      </w:r>
      <w:r w:rsidR="00F226FB">
        <w:rPr>
          <w:rFonts w:cs="Arial"/>
          <w:lang w:val="cs-CZ"/>
        </w:rPr>
        <w:t xml:space="preserve">náklady </w:t>
      </w:r>
      <w:r w:rsidR="001C0157">
        <w:rPr>
          <w:rFonts w:cs="Arial"/>
          <w:lang w:val="cs-CZ"/>
        </w:rPr>
        <w:t xml:space="preserve">společnosti T-Mobile </w:t>
      </w:r>
      <w:r w:rsidR="003A4AD7">
        <w:rPr>
          <w:rFonts w:cs="Arial"/>
          <w:lang w:val="cs-CZ"/>
        </w:rPr>
        <w:t>za období 2014</w:t>
      </w:r>
      <w:r w:rsidR="00AF4481">
        <w:rPr>
          <w:rFonts w:cs="Arial"/>
          <w:lang w:val="cs-CZ"/>
        </w:rPr>
        <w:t>–</w:t>
      </w:r>
      <w:r w:rsidR="00C95099">
        <w:rPr>
          <w:rFonts w:cs="Arial"/>
          <w:lang w:val="cs-CZ"/>
        </w:rPr>
        <w:t>2018. Dále je zde uvedena i </w:t>
      </w:r>
      <w:r w:rsidR="003A4AD7">
        <w:rPr>
          <w:rFonts w:cs="Arial"/>
          <w:lang w:val="cs-CZ"/>
        </w:rPr>
        <w:t>předpokládaná úspora při sdílení 4G sítě.</w:t>
      </w:r>
    </w:p>
    <w:p w14:paraId="3470F0EB" w14:textId="77777777" w:rsidR="00F226FB" w:rsidRDefault="00F226FB" w:rsidP="005916AF">
      <w:pPr>
        <w:tabs>
          <w:tab w:val="left" w:pos="5728"/>
        </w:tabs>
        <w:rPr>
          <w:rFonts w:cs="Arial"/>
          <w:lang w:val="cs-CZ"/>
        </w:rPr>
      </w:pPr>
      <w:r>
        <w:rPr>
          <w:rFonts w:cs="Arial"/>
          <w:lang w:val="cs-CZ"/>
        </w:rPr>
        <w:t>Tabulka 3:</w:t>
      </w:r>
      <w:r w:rsidRPr="00F226FB">
        <w:t xml:space="preserve"> </w:t>
      </w:r>
      <w:r w:rsidRPr="00F226FB">
        <w:rPr>
          <w:rFonts w:cs="Arial"/>
          <w:lang w:val="cs-CZ"/>
        </w:rPr>
        <w:t>Náklady a úspory za roky 2014-2018</w:t>
      </w:r>
    </w:p>
    <w:p w14:paraId="6BD72B41" w14:textId="77777777" w:rsidR="001D135E" w:rsidRDefault="001D135E" w:rsidP="005916AF">
      <w:pPr>
        <w:tabs>
          <w:tab w:val="left" w:pos="5728"/>
        </w:tabs>
      </w:pPr>
      <w:r>
        <w:rPr>
          <w:rFonts w:cs="Arial"/>
          <w:highlight w:val="yellow"/>
          <w:lang w:val="cs-CZ"/>
        </w:rPr>
        <w:t>[</w:t>
      </w:r>
      <w:r w:rsidRPr="00431AA8">
        <w:rPr>
          <w:rFonts w:cs="Arial"/>
          <w:i/>
          <w:highlight w:val="yellow"/>
          <w:lang w:val="cs-CZ"/>
        </w:rPr>
        <w:t>Obchodní tajemství</w:t>
      </w:r>
      <w:r>
        <w:rPr>
          <w:rFonts w:cs="Arial"/>
          <w:highlight w:val="yellow"/>
          <w:lang w:val="cs-CZ"/>
        </w:rPr>
        <w:t>]</w:t>
      </w:r>
    </w:p>
    <w:p w14:paraId="1D80C61E" w14:textId="1AAE94A4" w:rsidR="00475828" w:rsidRDefault="001C0157" w:rsidP="005916AF">
      <w:pPr>
        <w:ind w:firstLine="567"/>
        <w:rPr>
          <w:rFonts w:cs="Arial"/>
          <w:lang w:val="cs-CZ"/>
        </w:rPr>
      </w:pPr>
      <w:r>
        <w:rPr>
          <w:rFonts w:cs="Arial"/>
          <w:lang w:val="cs-CZ"/>
        </w:rPr>
        <w:t>V této tabulce jsou celkové investiční a provozní náklady bez a se sdílením sítí. Investiční náklady se vztahují jen na výstavbu radiové přístupové infrastruktury pro LTE</w:t>
      </w:r>
      <w:r w:rsidR="00432A41">
        <w:rPr>
          <w:rFonts w:cs="Arial"/>
          <w:lang w:val="cs-CZ"/>
        </w:rPr>
        <w:t>.</w:t>
      </w:r>
      <w:r>
        <w:rPr>
          <w:rFonts w:cs="Arial"/>
          <w:lang w:val="cs-CZ"/>
        </w:rPr>
        <w:t xml:space="preserve"> Provozní náklady jsou</w:t>
      </w:r>
      <w:r w:rsidR="003A4AD7">
        <w:rPr>
          <w:rFonts w:cs="Arial"/>
          <w:lang w:val="cs-CZ"/>
        </w:rPr>
        <w:t xml:space="preserve"> jako </w:t>
      </w:r>
      <w:r>
        <w:rPr>
          <w:rFonts w:cs="Arial"/>
          <w:lang w:val="cs-CZ"/>
        </w:rPr>
        <w:t xml:space="preserve">inkrementální k již aktuálně provozovaným nákladům 2G/3G sítě. Z výše uvedené tabulky lze </w:t>
      </w:r>
      <w:r w:rsidR="003A4AD7">
        <w:rPr>
          <w:rFonts w:cs="Arial"/>
          <w:lang w:val="cs-CZ"/>
        </w:rPr>
        <w:t>odhadnout</w:t>
      </w:r>
      <w:r>
        <w:rPr>
          <w:rFonts w:cs="Arial"/>
          <w:lang w:val="cs-CZ"/>
        </w:rPr>
        <w:t>, že p</w:t>
      </w:r>
      <w:r w:rsidR="003A4AD7">
        <w:rPr>
          <w:rFonts w:cs="Arial"/>
          <w:lang w:val="cs-CZ"/>
        </w:rPr>
        <w:t>okud operátor sdílí svojí síť</w:t>
      </w:r>
      <w:r w:rsidR="00432A41">
        <w:rPr>
          <w:rFonts w:cs="Arial"/>
          <w:lang w:val="cs-CZ"/>
        </w:rPr>
        <w:t>,</w:t>
      </w:r>
      <w:r>
        <w:rPr>
          <w:rFonts w:cs="Arial"/>
          <w:lang w:val="cs-CZ"/>
        </w:rPr>
        <w:t xml:space="preserve"> ušetř</w:t>
      </w:r>
      <w:r w:rsidR="00432A41">
        <w:rPr>
          <w:rFonts w:cs="Arial"/>
          <w:lang w:val="cs-CZ"/>
        </w:rPr>
        <w:t>í</w:t>
      </w:r>
      <w:r w:rsidR="000A2A9B" w:rsidRPr="00896584">
        <w:rPr>
          <w:lang w:val="cs-CZ"/>
        </w:rPr>
        <w:t xml:space="preserve"> </w:t>
      </w:r>
      <w:r w:rsidR="000A2A9B" w:rsidRPr="000A2A9B">
        <w:rPr>
          <w:rFonts w:cs="Arial"/>
          <w:lang w:val="cs-CZ"/>
        </w:rPr>
        <w:t>v letech 2014-2018</w:t>
      </w:r>
      <w:r>
        <w:rPr>
          <w:rFonts w:cs="Arial"/>
          <w:lang w:val="cs-CZ"/>
        </w:rPr>
        <w:t xml:space="preserve"> na investičních nákladech</w:t>
      </w:r>
      <w:r w:rsidR="00277BD6">
        <w:rPr>
          <w:rFonts w:cs="Arial"/>
          <w:lang w:val="cs-CZ"/>
        </w:rPr>
        <w:t xml:space="preserve"> do rádiové přístupové sítě</w:t>
      </w:r>
      <w:r>
        <w:rPr>
          <w:rFonts w:cs="Arial"/>
          <w:lang w:val="cs-CZ"/>
        </w:rPr>
        <w:t xml:space="preserve"> </w:t>
      </w:r>
      <w:r w:rsidR="001D135E">
        <w:rPr>
          <w:rFonts w:cs="Arial"/>
          <w:highlight w:val="yellow"/>
          <w:lang w:val="cs-CZ"/>
        </w:rPr>
        <w:t>[</w:t>
      </w:r>
      <w:r w:rsidR="001D135E" w:rsidRPr="00431AA8">
        <w:rPr>
          <w:rFonts w:cs="Arial"/>
          <w:i/>
          <w:highlight w:val="yellow"/>
          <w:lang w:val="cs-CZ"/>
        </w:rPr>
        <w:t>Obchodní tajemství</w:t>
      </w:r>
      <w:r w:rsidR="001D135E">
        <w:rPr>
          <w:rFonts w:cs="Arial"/>
          <w:highlight w:val="yellow"/>
          <w:lang w:val="cs-CZ"/>
        </w:rPr>
        <w:t>]</w:t>
      </w:r>
      <w:r>
        <w:rPr>
          <w:rFonts w:cs="Arial"/>
          <w:lang w:val="cs-CZ"/>
        </w:rPr>
        <w:t xml:space="preserve">, což představuje přibližně </w:t>
      </w:r>
      <w:r w:rsidR="001D135E">
        <w:rPr>
          <w:rFonts w:cs="Arial"/>
          <w:highlight w:val="yellow"/>
          <w:lang w:val="cs-CZ"/>
        </w:rPr>
        <w:t>[</w:t>
      </w:r>
      <w:r w:rsidR="001D135E" w:rsidRPr="00431AA8">
        <w:rPr>
          <w:rFonts w:cs="Arial"/>
          <w:i/>
          <w:highlight w:val="yellow"/>
          <w:lang w:val="cs-CZ"/>
        </w:rPr>
        <w:t>Obchodní tajemství</w:t>
      </w:r>
      <w:r w:rsidR="001D135E" w:rsidRPr="000D6202">
        <w:rPr>
          <w:rFonts w:cs="Arial"/>
          <w:highlight w:val="yellow"/>
          <w:lang w:val="cs-CZ"/>
        </w:rPr>
        <w:t>]</w:t>
      </w:r>
      <w:r>
        <w:rPr>
          <w:rFonts w:cs="Arial"/>
          <w:lang w:val="cs-CZ"/>
        </w:rPr>
        <w:t>% celkových investičních nákladů</w:t>
      </w:r>
      <w:r w:rsidR="003A4AD7">
        <w:rPr>
          <w:rFonts w:cs="Arial"/>
          <w:lang w:val="cs-CZ"/>
        </w:rPr>
        <w:t xml:space="preserve"> do rádiové přístupové sítě</w:t>
      </w:r>
      <w:r w:rsidR="00432A41">
        <w:rPr>
          <w:rFonts w:cs="Arial"/>
          <w:lang w:val="cs-CZ"/>
        </w:rPr>
        <w:t xml:space="preserve"> (bez sdílení).</w:t>
      </w:r>
      <w:r w:rsidR="000A2A9B">
        <w:rPr>
          <w:rFonts w:cs="Arial"/>
          <w:lang w:val="cs-CZ"/>
        </w:rPr>
        <w:t xml:space="preserve"> D</w:t>
      </w:r>
      <w:r w:rsidR="00277BD6">
        <w:rPr>
          <w:rFonts w:cs="Arial"/>
          <w:lang w:val="cs-CZ"/>
        </w:rPr>
        <w:t>le rozvojových kritérií pro využívání rádiových kmitočtů</w:t>
      </w:r>
      <w:r w:rsidR="000A2A9B">
        <w:rPr>
          <w:rFonts w:cs="Arial"/>
          <w:lang w:val="cs-CZ"/>
        </w:rPr>
        <w:t xml:space="preserve"> </w:t>
      </w:r>
      <w:r w:rsidR="00976B8D">
        <w:rPr>
          <w:rFonts w:cs="Arial"/>
          <w:lang w:val="cs-CZ"/>
        </w:rPr>
        <w:t xml:space="preserve">musí být do </w:t>
      </w:r>
      <w:r w:rsidR="00976B8D" w:rsidRPr="00976B8D">
        <w:rPr>
          <w:rFonts w:cs="Arial"/>
          <w:lang w:val="cs-CZ"/>
        </w:rPr>
        <w:t>5 let ode dne právní moci rozhodnutí o udělení přídělu rádiových kmitočtů</w:t>
      </w:r>
      <w:r w:rsidR="00976B8D">
        <w:rPr>
          <w:rFonts w:cs="Arial"/>
          <w:lang w:val="cs-CZ"/>
        </w:rPr>
        <w:t xml:space="preserve"> (tj. do roku 2019) pokryto signálem rádiového kmitočtu v pásmu 800 MHz 100 % okresů</w:t>
      </w:r>
      <w:r w:rsidR="00976B8D" w:rsidRPr="00976B8D">
        <w:rPr>
          <w:rFonts w:cs="Arial"/>
          <w:lang w:val="cs-CZ"/>
        </w:rPr>
        <w:t xml:space="preserve"> </w:t>
      </w:r>
      <w:r w:rsidR="00277BD6">
        <w:rPr>
          <w:rFonts w:cs="Arial"/>
          <w:lang w:val="cs-CZ"/>
        </w:rPr>
        <w:t>skupiny A</w:t>
      </w:r>
      <w:r w:rsidR="000A2A9B">
        <w:rPr>
          <w:rStyle w:val="Znakapoznpodarou"/>
          <w:rFonts w:cs="Arial"/>
          <w:lang w:val="cs-CZ"/>
        </w:rPr>
        <w:footnoteReference w:id="136"/>
      </w:r>
      <w:r w:rsidR="00976B8D">
        <w:rPr>
          <w:rFonts w:cs="Arial"/>
          <w:lang w:val="cs-CZ"/>
        </w:rPr>
        <w:t>, alespoň 22 okresů</w:t>
      </w:r>
      <w:r w:rsidR="00BA4997">
        <w:rPr>
          <w:rFonts w:cs="Arial"/>
          <w:lang w:val="cs-CZ"/>
        </w:rPr>
        <w:t xml:space="preserve"> skupiny B</w:t>
      </w:r>
      <w:r w:rsidR="00BA4997">
        <w:rPr>
          <w:rStyle w:val="Znakapoznpodarou"/>
          <w:rFonts w:cs="Arial"/>
          <w:lang w:val="cs-CZ"/>
        </w:rPr>
        <w:footnoteReference w:id="137"/>
      </w:r>
      <w:r w:rsidR="00976B8D">
        <w:rPr>
          <w:rFonts w:cs="Arial"/>
          <w:lang w:val="cs-CZ"/>
        </w:rPr>
        <w:t xml:space="preserve"> a alespoň 50 %</w:t>
      </w:r>
      <w:r w:rsidR="00BA4997">
        <w:rPr>
          <w:rFonts w:cs="Arial"/>
          <w:lang w:val="cs-CZ"/>
        </w:rPr>
        <w:t xml:space="preserve"> </w:t>
      </w:r>
      <w:r w:rsidR="00976B8D" w:rsidRPr="00976B8D">
        <w:rPr>
          <w:rFonts w:cs="Arial"/>
          <w:lang w:val="cs-CZ"/>
        </w:rPr>
        <w:t>z celkového rozsahu železničních tranzitních koridorů I. až IV., dálnic a rychlostních komunikací</w:t>
      </w:r>
      <w:r w:rsidR="00277BD6">
        <w:rPr>
          <w:rFonts w:cs="Arial"/>
          <w:lang w:val="cs-CZ"/>
        </w:rPr>
        <w:t>.</w:t>
      </w:r>
      <w:r w:rsidR="00976B8D">
        <w:rPr>
          <w:rFonts w:cs="Arial"/>
          <w:lang w:val="cs-CZ"/>
        </w:rPr>
        <w:t xml:space="preserve"> </w:t>
      </w:r>
      <w:r w:rsidR="00CF0964">
        <w:rPr>
          <w:rFonts w:cs="Arial"/>
          <w:lang w:val="cs-CZ"/>
        </w:rPr>
        <w:t>Z toho lze usuzovat, že značná část investičních nákladů bude realizována právě v posuzo</w:t>
      </w:r>
      <w:r w:rsidR="00277E32">
        <w:rPr>
          <w:rFonts w:cs="Arial"/>
          <w:lang w:val="cs-CZ"/>
        </w:rPr>
        <w:t>vaném období a závěry učiněné z </w:t>
      </w:r>
      <w:r w:rsidR="00CF0964">
        <w:rPr>
          <w:rFonts w:cs="Arial"/>
          <w:lang w:val="cs-CZ"/>
        </w:rPr>
        <w:t>kalkulace na toto období by se neměly diametrálně lišit ani při zohlednění dalších případných úspor v období po roce 2018.</w:t>
      </w:r>
    </w:p>
    <w:p w14:paraId="703D308E" w14:textId="5F6D1C42" w:rsidR="00113C4D" w:rsidRDefault="00EB2488" w:rsidP="005916AF">
      <w:pPr>
        <w:ind w:firstLine="567"/>
        <w:rPr>
          <w:rFonts w:cs="Arial"/>
          <w:lang w:val="cs-CZ"/>
        </w:rPr>
      </w:pPr>
      <w:r>
        <w:rPr>
          <w:rFonts w:cs="Arial"/>
          <w:lang w:val="cs-CZ"/>
        </w:rPr>
        <w:t>Jak bylo výše zmíněno, investiční náklady se týkají jen radiové přístupové sítě. Každý sdílející operátor musí ale investovat další finanční prostředky do posílení své páteřní sítě jak na svém území, tak i na území druhého operátora, jelikož operátor potřebuje</w:t>
      </w:r>
      <w:r w:rsidR="00113C4D">
        <w:rPr>
          <w:rFonts w:cs="Arial"/>
          <w:lang w:val="cs-CZ"/>
        </w:rPr>
        <w:t xml:space="preserve"> páteřní síť</w:t>
      </w:r>
      <w:r>
        <w:rPr>
          <w:rFonts w:cs="Arial"/>
          <w:lang w:val="cs-CZ"/>
        </w:rPr>
        <w:t xml:space="preserve"> pro území</w:t>
      </w:r>
      <w:r w:rsidR="00A9740D">
        <w:rPr>
          <w:rFonts w:cs="Arial"/>
          <w:lang w:val="cs-CZ"/>
        </w:rPr>
        <w:t xml:space="preserve">, </w:t>
      </w:r>
      <w:r w:rsidR="00A9740D" w:rsidRPr="00572A28">
        <w:rPr>
          <w:rFonts w:cs="Arial"/>
          <w:lang w:val="cs-CZ"/>
        </w:rPr>
        <w:t>která nejsou předmětem sdílení</w:t>
      </w:r>
      <w:r w:rsidRPr="00572A28">
        <w:rPr>
          <w:rFonts w:cs="Arial"/>
          <w:lang w:val="cs-CZ"/>
        </w:rPr>
        <w:t xml:space="preserve"> (Praha </w:t>
      </w:r>
      <w:r w:rsidR="00A9740D" w:rsidRPr="00572A28">
        <w:rPr>
          <w:rFonts w:cs="Arial"/>
          <w:lang w:val="cs-CZ"/>
        </w:rPr>
        <w:t>a</w:t>
      </w:r>
      <w:r w:rsidRPr="00572A28">
        <w:rPr>
          <w:rFonts w:cs="Arial"/>
          <w:lang w:val="cs-CZ"/>
        </w:rPr>
        <w:t xml:space="preserve"> Brno)</w:t>
      </w:r>
      <w:r w:rsidR="00A9740D" w:rsidRPr="00572A28">
        <w:rPr>
          <w:rFonts w:cs="Arial"/>
          <w:lang w:val="cs-CZ"/>
        </w:rPr>
        <w:t>,</w:t>
      </w:r>
      <w:r w:rsidR="003A4AD7">
        <w:rPr>
          <w:rFonts w:cs="Arial"/>
          <w:lang w:val="cs-CZ"/>
        </w:rPr>
        <w:t xml:space="preserve"> dále</w:t>
      </w:r>
      <w:r>
        <w:rPr>
          <w:rFonts w:cs="Arial"/>
          <w:lang w:val="cs-CZ"/>
        </w:rPr>
        <w:t xml:space="preserve"> pro své </w:t>
      </w:r>
      <w:proofErr w:type="spellStart"/>
      <w:r>
        <w:rPr>
          <w:rFonts w:cs="Arial"/>
          <w:lang w:val="cs-CZ"/>
        </w:rPr>
        <w:t>profinety</w:t>
      </w:r>
      <w:proofErr w:type="spellEnd"/>
      <w:r w:rsidR="008911F1">
        <w:rPr>
          <w:rStyle w:val="Znakapoznpodarou"/>
          <w:rFonts w:cs="Arial"/>
          <w:lang w:val="cs-CZ"/>
        </w:rPr>
        <w:footnoteReference w:id="138"/>
      </w:r>
      <w:r>
        <w:rPr>
          <w:rFonts w:cs="Arial"/>
          <w:lang w:val="cs-CZ"/>
        </w:rPr>
        <w:t>, ale také pro fixní služby. Kromě investic do páteřní sítě, musí sdílející operátor do svých investičních nákladů zahrnout i</w:t>
      </w:r>
      <w:r w:rsidR="003A4AD7">
        <w:rPr>
          <w:rFonts w:cs="Arial"/>
          <w:lang w:val="cs-CZ"/>
        </w:rPr>
        <w:t> </w:t>
      </w:r>
      <w:r w:rsidR="00113C4D">
        <w:rPr>
          <w:rFonts w:cs="Arial"/>
          <w:lang w:val="cs-CZ"/>
        </w:rPr>
        <w:t>náklady na implementační projekty, které jsou nezbytné pro obsluhu zákazníků přes LTE síť, ale především náklady</w:t>
      </w:r>
      <w:r>
        <w:rPr>
          <w:rFonts w:cs="Arial"/>
          <w:lang w:val="cs-CZ"/>
        </w:rPr>
        <w:t xml:space="preserve"> spojené s 2G/3G konsolidací, kterou b</w:t>
      </w:r>
      <w:r w:rsidR="00113C4D">
        <w:rPr>
          <w:rFonts w:cs="Arial"/>
          <w:lang w:val="cs-CZ"/>
        </w:rPr>
        <w:t>y pravděpodobně musel provést i </w:t>
      </w:r>
      <w:r>
        <w:rPr>
          <w:rFonts w:cs="Arial"/>
          <w:lang w:val="cs-CZ"/>
        </w:rPr>
        <w:t>v případě</w:t>
      </w:r>
      <w:r w:rsidR="00113C4D">
        <w:rPr>
          <w:rFonts w:cs="Arial"/>
          <w:lang w:val="cs-CZ"/>
        </w:rPr>
        <w:t xml:space="preserve"> nesdílení.</w:t>
      </w:r>
      <w:r>
        <w:rPr>
          <w:rFonts w:cs="Arial"/>
          <w:lang w:val="cs-CZ"/>
        </w:rPr>
        <w:t xml:space="preserve"> Poté by v případě </w:t>
      </w:r>
      <w:r w:rsidR="00113C4D">
        <w:rPr>
          <w:rFonts w:cs="Arial"/>
          <w:lang w:val="cs-CZ"/>
        </w:rPr>
        <w:t>jednoho</w:t>
      </w:r>
      <w:r w:rsidR="003A4AD7">
        <w:rPr>
          <w:rFonts w:cs="Arial"/>
          <w:lang w:val="cs-CZ"/>
        </w:rPr>
        <w:t xml:space="preserve"> sdílejícího</w:t>
      </w:r>
      <w:r w:rsidR="00113C4D">
        <w:rPr>
          <w:rFonts w:cs="Arial"/>
          <w:lang w:val="cs-CZ"/>
        </w:rPr>
        <w:t xml:space="preserve"> operátora vycházely investiční úspory kolem </w:t>
      </w:r>
      <w:r w:rsidR="001D135E">
        <w:rPr>
          <w:rFonts w:cs="Arial"/>
          <w:highlight w:val="yellow"/>
          <w:lang w:val="cs-CZ"/>
        </w:rPr>
        <w:t>[</w:t>
      </w:r>
      <w:r w:rsidR="001D135E" w:rsidRPr="00431AA8">
        <w:rPr>
          <w:rFonts w:cs="Arial"/>
          <w:i/>
          <w:highlight w:val="yellow"/>
          <w:lang w:val="cs-CZ"/>
        </w:rPr>
        <w:t>Obchodní tajemství</w:t>
      </w:r>
      <w:r w:rsidR="001D135E" w:rsidRPr="000D6202">
        <w:rPr>
          <w:rFonts w:cs="Arial"/>
          <w:highlight w:val="yellow"/>
          <w:lang w:val="cs-CZ"/>
        </w:rPr>
        <w:t>]</w:t>
      </w:r>
      <w:r w:rsidR="00113C4D">
        <w:rPr>
          <w:rFonts w:cs="Arial"/>
          <w:lang w:val="cs-CZ"/>
        </w:rPr>
        <w:t xml:space="preserve">, což z celkových investičních nákladů </w:t>
      </w:r>
      <w:r w:rsidR="008911F1">
        <w:rPr>
          <w:rFonts w:cs="Arial"/>
          <w:lang w:val="cs-CZ"/>
        </w:rPr>
        <w:t>do radiové</w:t>
      </w:r>
      <w:r w:rsidR="00BA4997">
        <w:rPr>
          <w:rFonts w:cs="Arial"/>
          <w:lang w:val="cs-CZ"/>
        </w:rPr>
        <w:t xml:space="preserve"> přístupové</w:t>
      </w:r>
      <w:r w:rsidR="008911F1">
        <w:rPr>
          <w:rFonts w:cs="Arial"/>
          <w:lang w:val="cs-CZ"/>
        </w:rPr>
        <w:t xml:space="preserve"> sítě</w:t>
      </w:r>
      <w:r w:rsidR="00A9740D">
        <w:rPr>
          <w:rFonts w:cs="Arial"/>
          <w:lang w:val="cs-CZ"/>
        </w:rPr>
        <w:t xml:space="preserve"> v letech 2014-2018</w:t>
      </w:r>
      <w:r w:rsidR="008911F1">
        <w:rPr>
          <w:rFonts w:cs="Arial"/>
          <w:lang w:val="cs-CZ"/>
        </w:rPr>
        <w:t xml:space="preserve"> představuje</w:t>
      </w:r>
      <w:r w:rsidR="00654D83">
        <w:rPr>
          <w:rFonts w:cs="Arial"/>
          <w:lang w:val="cs-CZ"/>
        </w:rPr>
        <w:t xml:space="preserve"> necelých</w:t>
      </w:r>
      <w:r w:rsidR="00113C4D">
        <w:rPr>
          <w:rFonts w:cs="Arial"/>
          <w:lang w:val="cs-CZ"/>
        </w:rPr>
        <w:t xml:space="preserve"> </w:t>
      </w:r>
      <w:r w:rsidR="001D135E">
        <w:rPr>
          <w:rFonts w:cs="Arial"/>
          <w:highlight w:val="yellow"/>
          <w:lang w:val="cs-CZ"/>
        </w:rPr>
        <w:t>[</w:t>
      </w:r>
      <w:r w:rsidR="001D135E" w:rsidRPr="00431AA8">
        <w:rPr>
          <w:rFonts w:cs="Arial"/>
          <w:i/>
          <w:highlight w:val="yellow"/>
          <w:lang w:val="cs-CZ"/>
        </w:rPr>
        <w:t>Obchodní tajemství</w:t>
      </w:r>
      <w:r w:rsidR="001D135E" w:rsidRPr="000D6202">
        <w:rPr>
          <w:rFonts w:cs="Arial"/>
          <w:highlight w:val="yellow"/>
          <w:lang w:val="cs-CZ"/>
        </w:rPr>
        <w:t>]</w:t>
      </w:r>
      <w:r w:rsidR="00113C4D">
        <w:rPr>
          <w:rFonts w:cs="Arial"/>
          <w:lang w:val="cs-CZ"/>
        </w:rPr>
        <w:t xml:space="preserve">%. </w:t>
      </w:r>
    </w:p>
    <w:p w14:paraId="767CB89C" w14:textId="36891758" w:rsidR="005E7224" w:rsidRDefault="00206415" w:rsidP="005916AF">
      <w:pPr>
        <w:ind w:firstLine="567"/>
        <w:rPr>
          <w:rFonts w:cs="Arial"/>
          <w:lang w:val="cs-CZ"/>
        </w:rPr>
      </w:pPr>
      <w:r>
        <w:rPr>
          <w:rFonts w:cs="Arial"/>
          <w:lang w:val="cs-CZ"/>
        </w:rPr>
        <w:t xml:space="preserve">Absolutní velikost provozních úspor ze sdílení 4G sítě v daném období (2014-2018), v závislosti na zvětšujícím se rozsahu sdílené sítě, roste, a to od necelých </w:t>
      </w:r>
      <w:r w:rsidR="001D135E">
        <w:rPr>
          <w:rFonts w:cs="Arial"/>
          <w:highlight w:val="yellow"/>
          <w:lang w:val="cs-CZ"/>
        </w:rPr>
        <w:t>[</w:t>
      </w:r>
      <w:r w:rsidR="001D135E" w:rsidRPr="00431AA8">
        <w:rPr>
          <w:rFonts w:cs="Arial"/>
          <w:i/>
          <w:highlight w:val="yellow"/>
          <w:lang w:val="cs-CZ"/>
        </w:rPr>
        <w:t>Obchodní tajemství</w:t>
      </w:r>
      <w:r w:rsidR="001D135E">
        <w:rPr>
          <w:rFonts w:cs="Arial"/>
          <w:highlight w:val="yellow"/>
          <w:lang w:val="cs-CZ"/>
        </w:rPr>
        <w:t>]</w:t>
      </w:r>
      <w:r>
        <w:rPr>
          <w:rFonts w:cs="Arial"/>
          <w:lang w:val="cs-CZ"/>
        </w:rPr>
        <w:t xml:space="preserve"> v roce 2014 až na více než </w:t>
      </w:r>
      <w:r w:rsidR="001D135E">
        <w:rPr>
          <w:rFonts w:cs="Arial"/>
          <w:highlight w:val="yellow"/>
          <w:lang w:val="cs-CZ"/>
        </w:rPr>
        <w:t>[</w:t>
      </w:r>
      <w:r w:rsidR="001D135E" w:rsidRPr="00431AA8">
        <w:rPr>
          <w:rFonts w:cs="Arial"/>
          <w:i/>
          <w:highlight w:val="yellow"/>
          <w:lang w:val="cs-CZ"/>
        </w:rPr>
        <w:t>Obchodní tajemství</w:t>
      </w:r>
      <w:r w:rsidR="001D135E">
        <w:rPr>
          <w:rFonts w:cs="Arial"/>
          <w:highlight w:val="yellow"/>
          <w:lang w:val="cs-CZ"/>
        </w:rPr>
        <w:t>]</w:t>
      </w:r>
      <w:r>
        <w:rPr>
          <w:rFonts w:cs="Arial"/>
          <w:lang w:val="cs-CZ"/>
        </w:rPr>
        <w:t xml:space="preserve"> v roce 2018. V relativním vyjádření se však </w:t>
      </w:r>
      <w:r w:rsidR="00DC236A">
        <w:rPr>
          <w:rFonts w:cs="Arial"/>
          <w:lang w:val="cs-CZ"/>
        </w:rPr>
        <w:t xml:space="preserve">provozní úspory </w:t>
      </w:r>
      <w:r>
        <w:rPr>
          <w:rFonts w:cs="Arial"/>
          <w:lang w:val="cs-CZ"/>
        </w:rPr>
        <w:t xml:space="preserve">stabilně pohybují v rozmezí </w:t>
      </w:r>
      <w:r w:rsidR="001D135E">
        <w:rPr>
          <w:rFonts w:cs="Arial"/>
          <w:highlight w:val="yellow"/>
          <w:lang w:val="cs-CZ"/>
        </w:rPr>
        <w:t>[</w:t>
      </w:r>
      <w:r w:rsidR="001D135E" w:rsidRPr="00431AA8">
        <w:rPr>
          <w:rFonts w:cs="Arial"/>
          <w:i/>
          <w:highlight w:val="yellow"/>
          <w:lang w:val="cs-CZ"/>
        </w:rPr>
        <w:t>Obchodní tajemství</w:t>
      </w:r>
      <w:r w:rsidR="001D135E">
        <w:rPr>
          <w:rFonts w:cs="Arial"/>
          <w:highlight w:val="yellow"/>
          <w:lang w:val="cs-CZ"/>
        </w:rPr>
        <w:t>]</w:t>
      </w:r>
      <w:r>
        <w:rPr>
          <w:rFonts w:cs="Arial"/>
          <w:lang w:val="cs-CZ"/>
        </w:rPr>
        <w:t>% z celkových ročních provozních nákladů na rádiovou přístupovou síť</w:t>
      </w:r>
      <w:r w:rsidR="004B2C79">
        <w:rPr>
          <w:rFonts w:cs="Arial"/>
          <w:lang w:val="cs-CZ"/>
        </w:rPr>
        <w:t xml:space="preserve"> 4G</w:t>
      </w:r>
      <w:r>
        <w:rPr>
          <w:rFonts w:cs="Arial"/>
          <w:lang w:val="cs-CZ"/>
        </w:rPr>
        <w:t>.</w:t>
      </w:r>
    </w:p>
    <w:p w14:paraId="29C330C9" w14:textId="08EBB8EC" w:rsidR="00113C4D" w:rsidRPr="00475828" w:rsidRDefault="005E7224" w:rsidP="005916AF">
      <w:pPr>
        <w:ind w:firstLine="567"/>
        <w:rPr>
          <w:rFonts w:cs="Arial"/>
          <w:lang w:val="cs-CZ"/>
        </w:rPr>
      </w:pPr>
      <w:r>
        <w:rPr>
          <w:rFonts w:cs="Arial"/>
          <w:lang w:val="cs-CZ"/>
        </w:rPr>
        <w:t xml:space="preserve">Pokud celkovou úsporu nákladů (investičních i provozních) za každý jednotlivý rok posuzovaného období vztáhneme k celkovým ročním nákladům jednotlivých sdílejících operátorů, zjistíme, že se pohybují pod </w:t>
      </w:r>
      <w:r w:rsidR="001D135E">
        <w:rPr>
          <w:rFonts w:cs="Arial"/>
          <w:highlight w:val="yellow"/>
          <w:lang w:val="cs-CZ"/>
        </w:rPr>
        <w:t>[</w:t>
      </w:r>
      <w:r w:rsidR="001D135E" w:rsidRPr="00431AA8">
        <w:rPr>
          <w:rFonts w:cs="Arial"/>
          <w:i/>
          <w:highlight w:val="yellow"/>
          <w:lang w:val="cs-CZ"/>
        </w:rPr>
        <w:t>Obchodní tajemství</w:t>
      </w:r>
      <w:r w:rsidR="001D135E">
        <w:rPr>
          <w:rFonts w:cs="Arial"/>
          <w:highlight w:val="yellow"/>
          <w:lang w:val="cs-CZ"/>
        </w:rPr>
        <w:t>]</w:t>
      </w:r>
      <w:r>
        <w:rPr>
          <w:rFonts w:cs="Arial"/>
          <w:lang w:val="cs-CZ"/>
        </w:rPr>
        <w:t>%.</w:t>
      </w:r>
      <w:r w:rsidR="00CD3D43">
        <w:rPr>
          <w:rFonts w:cs="Arial"/>
          <w:lang w:val="cs-CZ"/>
        </w:rPr>
        <w:t xml:space="preserve"> Tato úspora není podle Úřadu natolik významná, aby donutila mimo</w:t>
      </w:r>
      <w:r w:rsidR="001D135E">
        <w:rPr>
          <w:rFonts w:cs="Arial"/>
          <w:lang w:val="cs-CZ"/>
        </w:rPr>
        <w:t xml:space="preserve"> </w:t>
      </w:r>
      <w:r w:rsidR="00CD3D43">
        <w:rPr>
          <w:rFonts w:cs="Arial"/>
          <w:lang w:val="cs-CZ"/>
        </w:rPr>
        <w:t>stojícího soutěžitele opustit trh.</w:t>
      </w:r>
    </w:p>
    <w:p w14:paraId="40334917" w14:textId="77777777" w:rsidR="00475828" w:rsidRPr="00AC5A97" w:rsidRDefault="00475828" w:rsidP="00AC5A97">
      <w:pPr>
        <w:numPr>
          <w:ilvl w:val="0"/>
          <w:numId w:val="32"/>
        </w:numPr>
        <w:rPr>
          <w:i/>
          <w:lang w:val="cs-CZ"/>
        </w:rPr>
      </w:pPr>
      <w:r w:rsidRPr="00AC5A97">
        <w:rPr>
          <w:i/>
          <w:lang w:val="cs-CZ"/>
        </w:rPr>
        <w:t xml:space="preserve">Postavení </w:t>
      </w:r>
      <w:proofErr w:type="spellStart"/>
      <w:r w:rsidRPr="00AC5A97">
        <w:rPr>
          <w:i/>
          <w:lang w:val="cs-CZ"/>
        </w:rPr>
        <w:t>mimostojícího</w:t>
      </w:r>
      <w:proofErr w:type="spellEnd"/>
      <w:r w:rsidRPr="00AC5A97">
        <w:rPr>
          <w:i/>
          <w:lang w:val="cs-CZ"/>
        </w:rPr>
        <w:t xml:space="preserve"> soutěžitele</w:t>
      </w:r>
    </w:p>
    <w:p w14:paraId="0A87C86E" w14:textId="77777777" w:rsidR="00475828" w:rsidRPr="00475828" w:rsidRDefault="00475828" w:rsidP="005916AF">
      <w:pPr>
        <w:ind w:firstLine="567"/>
        <w:rPr>
          <w:rFonts w:cs="Arial"/>
          <w:lang w:val="cs-CZ"/>
        </w:rPr>
      </w:pPr>
      <w:r w:rsidRPr="00475828">
        <w:rPr>
          <w:rFonts w:cs="Arial"/>
          <w:lang w:val="cs-CZ"/>
        </w:rPr>
        <w:t>Společnost Vodafone, která budovala a bude budovat obdobné pokrytí sama, je v tomto případě znevýhodněná, protože musí vynaložit na zvýšení pokrytí jednak vyšší finanční zdroje a</w:t>
      </w:r>
      <w:r w:rsidR="00AC6783">
        <w:rPr>
          <w:rFonts w:cs="Arial"/>
          <w:lang w:val="cs-CZ"/>
        </w:rPr>
        <w:t> </w:t>
      </w:r>
      <w:r w:rsidRPr="00475828">
        <w:rPr>
          <w:rFonts w:cs="Arial"/>
          <w:lang w:val="cs-CZ"/>
        </w:rPr>
        <w:t>jednak bude poskytování služeb zatíženo vyššími fixními náklady, a to i vzhledem k nižšímu počtu účastníků tohoto operátora. Vybudování obdobného pokrytí, jako mají společnosti O2 a </w:t>
      </w:r>
      <w:r w:rsidR="00DC236A">
        <w:rPr>
          <w:rFonts w:cs="Arial"/>
          <w:lang w:val="cs-CZ"/>
        </w:rPr>
        <w:t>TMCZ</w:t>
      </w:r>
      <w:r w:rsidRPr="00475828">
        <w:rPr>
          <w:rFonts w:cs="Arial"/>
          <w:lang w:val="cs-CZ"/>
        </w:rPr>
        <w:t>, je však pro společnost Vodafone z hlediska konkurenceschopnosti nezbytné. Na</w:t>
      </w:r>
      <w:r w:rsidR="00DC236A">
        <w:rPr>
          <w:rFonts w:cs="Arial"/>
          <w:lang w:val="cs-CZ"/>
        </w:rPr>
        <w:t> </w:t>
      </w:r>
      <w:r w:rsidRPr="00475828">
        <w:rPr>
          <w:rFonts w:cs="Arial"/>
          <w:lang w:val="cs-CZ"/>
        </w:rPr>
        <w:t xml:space="preserve">druhou stranu je potřeba si uvědomit, že Vodafone budoval svojí LTE síť v předstihu (konec roku 2013) v pásmu 900 MHz a od prosince 2014 v pásmu 2 100 MHz. Tato konkurenční výhoda </w:t>
      </w:r>
      <w:r w:rsidR="00031D90">
        <w:rPr>
          <w:rFonts w:cs="Arial"/>
          <w:lang w:val="cs-CZ"/>
        </w:rPr>
        <w:t>mohla</w:t>
      </w:r>
      <w:r w:rsidRPr="00475828">
        <w:rPr>
          <w:rFonts w:cs="Arial"/>
          <w:lang w:val="cs-CZ"/>
        </w:rPr>
        <w:t xml:space="preserve"> motivova</w:t>
      </w:r>
      <w:r w:rsidR="00031D90">
        <w:rPr>
          <w:rFonts w:cs="Arial"/>
          <w:lang w:val="cs-CZ"/>
        </w:rPr>
        <w:t>t</w:t>
      </w:r>
      <w:r w:rsidRPr="00475828">
        <w:rPr>
          <w:rFonts w:cs="Arial"/>
          <w:lang w:val="cs-CZ"/>
        </w:rPr>
        <w:t xml:space="preserve"> zbylé dva hráče na trhu ke sdílení sítí a tedy kompenzování náskoku Vodafone s výstavbou LTE sítě na frekvencích 900 a 2 100 MHz. Boj </w:t>
      </w:r>
      <w:r w:rsidR="00DC236A">
        <w:rPr>
          <w:rFonts w:cs="Arial"/>
          <w:lang w:val="cs-CZ"/>
        </w:rPr>
        <w:t xml:space="preserve">společnosti </w:t>
      </w:r>
      <w:r w:rsidRPr="00475828">
        <w:rPr>
          <w:rFonts w:cs="Arial"/>
          <w:lang w:val="cs-CZ"/>
        </w:rPr>
        <w:t>Vodafone proti sdílení sítí společnostmi O2 a TMCZ lze spíše chápat jako konkurenční boj o</w:t>
      </w:r>
      <w:r w:rsidR="00DC236A">
        <w:rPr>
          <w:rFonts w:cs="Arial"/>
          <w:lang w:val="cs-CZ"/>
        </w:rPr>
        <w:t> </w:t>
      </w:r>
      <w:r w:rsidRPr="00475828">
        <w:rPr>
          <w:rFonts w:cs="Arial"/>
          <w:lang w:val="cs-CZ"/>
        </w:rPr>
        <w:t xml:space="preserve">zachování svého současného výhodného postavení na trhu, než o obavu z diskriminačního jednání O2 a TMCZ. </w:t>
      </w:r>
    </w:p>
    <w:p w14:paraId="1620EBF8" w14:textId="77777777" w:rsidR="00475828" w:rsidRPr="00475828" w:rsidRDefault="00475828" w:rsidP="005916AF">
      <w:pPr>
        <w:ind w:firstLine="567"/>
        <w:rPr>
          <w:rFonts w:cs="Arial"/>
          <w:lang w:val="cs-CZ"/>
        </w:rPr>
      </w:pPr>
      <w:r w:rsidRPr="00475828">
        <w:rPr>
          <w:rFonts w:cs="Arial"/>
          <w:lang w:val="cs-CZ"/>
        </w:rPr>
        <w:t>Nákladovou nevýhodu vůči sdílejícím operátorům může Vodafone kompenzovat svojí modernější sítí, výhodami plynoucími z příslušnosti ke skupině Vodafone, tedy přístupu k finančnímu zázemí</w:t>
      </w:r>
      <w:r w:rsidR="00DC236A">
        <w:rPr>
          <w:rFonts w:cs="Arial"/>
          <w:lang w:val="cs-CZ"/>
        </w:rPr>
        <w:t>,</w:t>
      </w:r>
      <w:r w:rsidRPr="00475828">
        <w:rPr>
          <w:rFonts w:cs="Arial"/>
          <w:lang w:val="cs-CZ"/>
        </w:rPr>
        <w:t xml:space="preserve"> a know-how umožňující mu se chovat inovativně, tak jak ukázal u výstavby své LTE sítě a do budoucna bude nadále představovat kýžený konkurenční tlak pro</w:t>
      </w:r>
      <w:r w:rsidR="00DC236A">
        <w:rPr>
          <w:rFonts w:cs="Arial"/>
          <w:lang w:val="cs-CZ"/>
        </w:rPr>
        <w:t> </w:t>
      </w:r>
      <w:r w:rsidRPr="00475828">
        <w:rPr>
          <w:rFonts w:cs="Arial"/>
          <w:lang w:val="cs-CZ"/>
        </w:rPr>
        <w:t>oba sdílející operátory.</w:t>
      </w:r>
    </w:p>
    <w:p w14:paraId="080951EE" w14:textId="77777777" w:rsidR="00475828" w:rsidRPr="00AC5A97" w:rsidRDefault="00475828" w:rsidP="00AC5A97">
      <w:pPr>
        <w:numPr>
          <w:ilvl w:val="0"/>
          <w:numId w:val="32"/>
        </w:numPr>
        <w:rPr>
          <w:i/>
          <w:lang w:val="cs-CZ"/>
        </w:rPr>
      </w:pPr>
      <w:r w:rsidRPr="00AC5A97">
        <w:rPr>
          <w:i/>
          <w:lang w:val="cs-CZ"/>
        </w:rPr>
        <w:t>Rizika sdílení</w:t>
      </w:r>
    </w:p>
    <w:p w14:paraId="6898B9DA" w14:textId="77777777" w:rsidR="00B56296" w:rsidRPr="00475828" w:rsidRDefault="00475828" w:rsidP="005916AF">
      <w:pPr>
        <w:ind w:firstLine="567"/>
        <w:rPr>
          <w:lang w:val="cs-CZ"/>
        </w:rPr>
      </w:pPr>
      <w:r w:rsidRPr="00475828">
        <w:rPr>
          <w:rFonts w:cs="Arial"/>
          <w:lang w:val="cs-CZ"/>
        </w:rPr>
        <w:t xml:space="preserve">Se sdílením sítí je potřeba si uvědomit i </w:t>
      </w:r>
      <w:r w:rsidR="00DC236A">
        <w:rPr>
          <w:rFonts w:cs="Arial"/>
          <w:lang w:val="cs-CZ"/>
        </w:rPr>
        <w:t xml:space="preserve">související </w:t>
      </w:r>
      <w:r w:rsidRPr="00475828">
        <w:rPr>
          <w:rFonts w:cs="Arial"/>
          <w:lang w:val="cs-CZ"/>
        </w:rPr>
        <w:t xml:space="preserve">nevýhody. Sdílení síti je dlouhodobý projekt, který přináší časové, finanční a transakční náklady. Jednou z významných nevýhod a budoucím rizikem pro obě strany je nižší míra flexibility a samostatnosti při rozvoji a modernizaci sítě a při zavádění inovativních technologií. Při budování sítí nových generací může být pro sdílející operátory nákladnější budovat svou vlastní nezávislou síť a je tedy možné, že další generace budou budovat společně. </w:t>
      </w:r>
      <w:bookmarkStart w:id="223" w:name="_Toc412463666"/>
      <w:bookmarkStart w:id="224" w:name="_Toc412463809"/>
      <w:bookmarkStart w:id="225" w:name="_Toc412463889"/>
      <w:bookmarkStart w:id="226" w:name="_Toc412465747"/>
      <w:bookmarkStart w:id="227" w:name="_Toc412467299"/>
      <w:bookmarkStart w:id="228" w:name="_Toc412467392"/>
      <w:bookmarkStart w:id="229" w:name="_Toc412467607"/>
      <w:bookmarkStart w:id="230" w:name="_Toc412467828"/>
      <w:bookmarkStart w:id="231" w:name="_Toc412467918"/>
      <w:bookmarkStart w:id="232" w:name="_Toc412468006"/>
      <w:bookmarkStart w:id="233" w:name="_Toc412469002"/>
      <w:bookmarkStart w:id="234" w:name="_Toc412470560"/>
      <w:bookmarkStart w:id="235" w:name="_Toc412470765"/>
      <w:bookmarkStart w:id="236" w:name="_Toc412471058"/>
      <w:bookmarkStart w:id="237" w:name="_Toc412471137"/>
      <w:bookmarkStart w:id="238" w:name="_Toc412471216"/>
      <w:bookmarkStart w:id="239" w:name="_Toc412471294"/>
      <w:bookmarkStart w:id="240" w:name="_Toc412471373"/>
      <w:bookmarkStart w:id="241" w:name="_Toc412471451"/>
      <w:bookmarkStart w:id="242" w:name="_Toc412471531"/>
      <w:bookmarkStart w:id="243" w:name="_Toc412471610"/>
      <w:bookmarkStart w:id="244" w:name="_Toc412471849"/>
      <w:bookmarkStart w:id="245" w:name="_Toc412471928"/>
      <w:bookmarkStart w:id="246" w:name="_Toc412472006"/>
      <w:bookmarkStart w:id="247" w:name="_Toc41247208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461EC858" w14:textId="77777777" w:rsidR="00B56296" w:rsidRPr="002F6D79" w:rsidRDefault="00B56296" w:rsidP="005916AF">
      <w:pPr>
        <w:pStyle w:val="Nadpis1"/>
        <w:keepNext w:val="0"/>
        <w:numPr>
          <w:ilvl w:val="0"/>
          <w:numId w:val="3"/>
        </w:numPr>
        <w:spacing w:before="360"/>
        <w:rPr>
          <w:lang w:val="cs-CZ"/>
        </w:rPr>
      </w:pPr>
      <w:bookmarkStart w:id="248" w:name="_Toc301423707"/>
      <w:r w:rsidRPr="002F6D79">
        <w:rPr>
          <w:lang w:val="cs-CZ"/>
        </w:rPr>
        <w:t xml:space="preserve">Kompetence </w:t>
      </w:r>
      <w:r w:rsidR="00464881" w:rsidRPr="002F6D79">
        <w:rPr>
          <w:lang w:val="cs-CZ"/>
        </w:rPr>
        <w:t>Úřadu</w:t>
      </w:r>
      <w:r w:rsidR="002F6D79">
        <w:rPr>
          <w:lang w:val="cs-CZ"/>
        </w:rPr>
        <w:t xml:space="preserve"> ve vztahu ke sdílení sítí</w:t>
      </w:r>
      <w:bookmarkEnd w:id="248"/>
    </w:p>
    <w:p w14:paraId="25F8C43E" w14:textId="77777777" w:rsidR="008E06B9" w:rsidRPr="00475828" w:rsidRDefault="008E06B9" w:rsidP="005916AF">
      <w:pPr>
        <w:ind w:firstLine="567"/>
        <w:rPr>
          <w:rFonts w:cs="Arial"/>
          <w:lang w:val="cs-CZ"/>
        </w:rPr>
      </w:pPr>
      <w:r w:rsidRPr="00475828">
        <w:rPr>
          <w:rFonts w:cs="Arial"/>
          <w:lang w:val="cs-CZ"/>
        </w:rPr>
        <w:t>Úřad je dle § 3 Zákona ústředním správním úřadem pro výkon státní správy ve věcech stanovených tímto zákonem, včetně regulace trhu a stanovování podmínek pro podnikání v</w:t>
      </w:r>
      <w:r w:rsidR="00247FC2">
        <w:rPr>
          <w:rFonts w:cs="Arial"/>
          <w:lang w:val="cs-CZ"/>
        </w:rPr>
        <w:t> </w:t>
      </w:r>
      <w:r w:rsidRPr="00475828">
        <w:rPr>
          <w:rFonts w:cs="Arial"/>
          <w:lang w:val="cs-CZ"/>
        </w:rPr>
        <w:t>oblasti elektronických komunikací a poštovních služeb. Účelem regulace prováděné Úřadem je, v souladu s § 4 Zákona, nahrazení chybějících účinků hospodářské soutěže, vytváření předpokladů pro řádné fungování hospodářské soutěže a pro ochranu uživatelů a dalších účastníků trhu do doby dosažení plně konkurenčního prostředí.</w:t>
      </w:r>
    </w:p>
    <w:p w14:paraId="6D78BC80" w14:textId="583F89AD" w:rsidR="005916AF" w:rsidRDefault="008E06B9" w:rsidP="00C95099">
      <w:pPr>
        <w:ind w:firstLine="567"/>
        <w:rPr>
          <w:rFonts w:cs="Arial"/>
          <w:lang w:val="cs-CZ"/>
        </w:rPr>
      </w:pPr>
      <w:r w:rsidRPr="00475828">
        <w:rPr>
          <w:rFonts w:cs="Arial"/>
          <w:lang w:val="cs-CZ"/>
        </w:rPr>
        <w:t xml:space="preserve">Úřad lze charakterizovat jako regulátora s pravomocemi, které jsou uplatňovány preventivně za účelem předejití narušení hospodářské soutěže. Tyto </w:t>
      </w:r>
      <w:r w:rsidRPr="00475828">
        <w:rPr>
          <w:rFonts w:cs="Arial"/>
          <w:i/>
          <w:lang w:val="cs-CZ"/>
        </w:rPr>
        <w:t>ex ante</w:t>
      </w:r>
      <w:r w:rsidRPr="00475828">
        <w:rPr>
          <w:rFonts w:cs="Arial"/>
          <w:lang w:val="cs-CZ"/>
        </w:rPr>
        <w:t xml:space="preserve"> pravomoci jsou zároveň velmi omezeně aplikovatelné v případě, že k narušení hospodářské soutěže již došlo. V</w:t>
      </w:r>
      <w:r w:rsidR="00AC6783">
        <w:rPr>
          <w:rFonts w:cs="Arial"/>
          <w:lang w:val="cs-CZ"/>
        </w:rPr>
        <w:t> </w:t>
      </w:r>
      <w:r w:rsidRPr="00475828">
        <w:rPr>
          <w:rFonts w:cs="Arial"/>
          <w:lang w:val="cs-CZ"/>
        </w:rPr>
        <w:t>takovém případě</w:t>
      </w:r>
      <w:r w:rsidR="00DC236A">
        <w:rPr>
          <w:rFonts w:cs="Arial"/>
          <w:lang w:val="cs-CZ"/>
        </w:rPr>
        <w:t>, tj.</w:t>
      </w:r>
      <w:r w:rsidRPr="00475828">
        <w:rPr>
          <w:rFonts w:cs="Arial"/>
          <w:lang w:val="cs-CZ"/>
        </w:rPr>
        <w:t xml:space="preserve"> zpravidla </w:t>
      </w:r>
      <w:r w:rsidR="00DC236A">
        <w:rPr>
          <w:rFonts w:cs="Arial"/>
          <w:lang w:val="cs-CZ"/>
        </w:rPr>
        <w:t xml:space="preserve">při </w:t>
      </w:r>
      <w:r w:rsidRPr="00475828">
        <w:rPr>
          <w:rFonts w:cs="Arial"/>
          <w:lang w:val="cs-CZ"/>
        </w:rPr>
        <w:t>podezření na soutěžně</w:t>
      </w:r>
      <w:r w:rsidR="00AC5138">
        <w:rPr>
          <w:rFonts w:cs="Arial"/>
          <w:lang w:val="cs-CZ"/>
        </w:rPr>
        <w:t>-</w:t>
      </w:r>
      <w:r w:rsidRPr="00475828">
        <w:rPr>
          <w:rFonts w:cs="Arial"/>
          <w:lang w:val="cs-CZ"/>
        </w:rPr>
        <w:t>právní delikt</w:t>
      </w:r>
      <w:r w:rsidR="00DC236A">
        <w:rPr>
          <w:rFonts w:cs="Arial"/>
          <w:lang w:val="cs-CZ"/>
        </w:rPr>
        <w:t>,</w:t>
      </w:r>
      <w:r w:rsidRPr="00475828">
        <w:rPr>
          <w:rFonts w:cs="Arial"/>
          <w:lang w:val="cs-CZ"/>
        </w:rPr>
        <w:t xml:space="preserve"> bude </w:t>
      </w:r>
      <w:r w:rsidR="00DC236A">
        <w:rPr>
          <w:rFonts w:cs="Arial"/>
          <w:lang w:val="cs-CZ"/>
        </w:rPr>
        <w:t>příslušným orgánem</w:t>
      </w:r>
      <w:r w:rsidR="00DC236A" w:rsidRPr="00475828">
        <w:rPr>
          <w:rFonts w:cs="Arial"/>
          <w:lang w:val="cs-CZ"/>
        </w:rPr>
        <w:t xml:space="preserve"> </w:t>
      </w:r>
      <w:r w:rsidRPr="00475828">
        <w:rPr>
          <w:rFonts w:cs="Arial"/>
          <w:lang w:val="cs-CZ"/>
        </w:rPr>
        <w:t xml:space="preserve">Úřad pro ochranu hospodářské soutěže. Toto </w:t>
      </w:r>
      <w:r w:rsidR="00E078F6" w:rsidRPr="00475828">
        <w:rPr>
          <w:rFonts w:cs="Arial"/>
          <w:lang w:val="cs-CZ"/>
        </w:rPr>
        <w:t>Stanovisko</w:t>
      </w:r>
      <w:r w:rsidRPr="00475828">
        <w:rPr>
          <w:rFonts w:cs="Arial"/>
          <w:lang w:val="cs-CZ"/>
        </w:rPr>
        <w:t xml:space="preserve"> má tak omezenou aplikovatelnost ve vztahu k případným okamžitým aktivitám Úřadu; naopak lze předpokládat, že by mohlo sloužit jako podklad pro rozhodování při přípravě aktualizovaných analýz relevantních trhů či jako vodítko při nastavení podmínek případných výběrových řízení za</w:t>
      </w:r>
      <w:r w:rsidR="00DC236A">
        <w:rPr>
          <w:rFonts w:cs="Arial"/>
          <w:lang w:val="cs-CZ"/>
        </w:rPr>
        <w:t> </w:t>
      </w:r>
      <w:r w:rsidRPr="00475828">
        <w:rPr>
          <w:rFonts w:cs="Arial"/>
          <w:lang w:val="cs-CZ"/>
        </w:rPr>
        <w:t>účelem udělení práv k využívání rádiových kmitočtů.</w:t>
      </w:r>
      <w:r w:rsidR="005668B7">
        <w:rPr>
          <w:rFonts w:cs="Arial"/>
          <w:lang w:val="cs-CZ"/>
        </w:rPr>
        <w:t xml:space="preserve"> </w:t>
      </w:r>
      <w:r w:rsidR="00FA39E8">
        <w:rPr>
          <w:rFonts w:cs="Arial"/>
          <w:lang w:val="cs-CZ"/>
        </w:rPr>
        <w:t xml:space="preserve">Výčet uvedený níže ukazuje, které kompetence by mohl Úřad v reakci na </w:t>
      </w:r>
      <w:r w:rsidR="00FA39E8" w:rsidRPr="00475828">
        <w:rPr>
          <w:rFonts w:cs="Arial"/>
          <w:lang w:val="cs-CZ"/>
        </w:rPr>
        <w:t xml:space="preserve">analyzované smlouvy o sdílení sítí </w:t>
      </w:r>
      <w:r w:rsidR="00FA39E8">
        <w:rPr>
          <w:rFonts w:cs="Arial"/>
          <w:lang w:val="cs-CZ"/>
        </w:rPr>
        <w:t xml:space="preserve">uplatnit. </w:t>
      </w:r>
      <w:r w:rsidR="002E7F07">
        <w:rPr>
          <w:rFonts w:cs="Arial"/>
          <w:lang w:val="cs-CZ"/>
        </w:rPr>
        <w:t>Z analýzy jednotlivých kompetencí vyplývá</w:t>
      </w:r>
      <w:r w:rsidR="005668B7">
        <w:rPr>
          <w:rFonts w:cs="Arial"/>
          <w:lang w:val="cs-CZ"/>
        </w:rPr>
        <w:t xml:space="preserve">, že </w:t>
      </w:r>
      <w:r w:rsidR="002E7F07">
        <w:rPr>
          <w:rFonts w:cs="Arial"/>
          <w:lang w:val="cs-CZ"/>
        </w:rPr>
        <w:t>v krátkodobém časovém horizontu není</w:t>
      </w:r>
      <w:r w:rsidR="005668B7">
        <w:rPr>
          <w:rFonts w:cs="Arial"/>
          <w:lang w:val="cs-CZ"/>
        </w:rPr>
        <w:t xml:space="preserve"> bezprostřední potřeba některou z uvedených pravomocí uplatnit</w:t>
      </w:r>
      <w:r w:rsidR="002E7F07">
        <w:rPr>
          <w:rFonts w:cs="Arial"/>
          <w:lang w:val="cs-CZ"/>
        </w:rPr>
        <w:t>.</w:t>
      </w:r>
      <w:r w:rsidR="00FA39E8">
        <w:rPr>
          <w:rFonts w:cs="Arial"/>
          <w:lang w:val="cs-CZ"/>
        </w:rPr>
        <w:t xml:space="preserve"> </w:t>
      </w:r>
      <w:r w:rsidR="002E7F07">
        <w:rPr>
          <w:rFonts w:cs="Arial"/>
          <w:lang w:val="cs-CZ"/>
        </w:rPr>
        <w:t>V</w:t>
      </w:r>
      <w:r w:rsidR="00FA39E8">
        <w:rPr>
          <w:rFonts w:cs="Arial"/>
          <w:lang w:val="cs-CZ"/>
        </w:rPr>
        <w:t>ýčet níže tedy v současn</w:t>
      </w:r>
      <w:r w:rsidR="002E7F07">
        <w:rPr>
          <w:rFonts w:cs="Arial"/>
          <w:lang w:val="cs-CZ"/>
        </w:rPr>
        <w:t>é</w:t>
      </w:r>
      <w:r w:rsidR="00FA39E8">
        <w:rPr>
          <w:rFonts w:cs="Arial"/>
          <w:lang w:val="cs-CZ"/>
        </w:rPr>
        <w:t xml:space="preserve"> situaci představuje hlavně možné varianty řešení, které má Úřad k dispozici a mohl by k nim přistoupit, pokud by se situace na trhu v důsledku sdílení sítí změnila</w:t>
      </w:r>
      <w:r w:rsidR="005668B7">
        <w:rPr>
          <w:rFonts w:cs="Arial"/>
          <w:lang w:val="cs-CZ"/>
        </w:rPr>
        <w:t>.</w:t>
      </w:r>
      <w:r w:rsidR="00E444CE">
        <w:rPr>
          <w:rFonts w:cs="Arial"/>
          <w:lang w:val="cs-CZ"/>
        </w:rPr>
        <w:t xml:space="preserve"> V případě analýz relevantních trhů, nastavení podmínek výběrového řízení i v případě kontroly nad efektivním </w:t>
      </w:r>
      <w:r w:rsidR="002E7F07">
        <w:rPr>
          <w:rFonts w:cs="Arial"/>
          <w:lang w:val="cs-CZ"/>
        </w:rPr>
        <w:t>využíváním</w:t>
      </w:r>
      <w:r w:rsidR="00E444CE">
        <w:rPr>
          <w:rFonts w:cs="Arial"/>
          <w:lang w:val="cs-CZ"/>
        </w:rPr>
        <w:t xml:space="preserve"> spektra jde o nástroje, které může Úřad uplatňovat </w:t>
      </w:r>
      <w:r w:rsidR="002E7F07" w:rsidRPr="002E7F07">
        <w:rPr>
          <w:rFonts w:cs="Arial"/>
          <w:lang w:val="cs-CZ"/>
        </w:rPr>
        <w:t>z úřední povinnosti</w:t>
      </w:r>
      <w:r w:rsidR="00E444CE">
        <w:rPr>
          <w:rFonts w:cs="Arial"/>
          <w:lang w:val="cs-CZ"/>
        </w:rPr>
        <w:t xml:space="preserve"> – nejde o</w:t>
      </w:r>
      <w:r w:rsidR="00DC236A">
        <w:rPr>
          <w:rFonts w:cs="Arial"/>
          <w:lang w:val="cs-CZ"/>
        </w:rPr>
        <w:t> </w:t>
      </w:r>
      <w:r w:rsidR="00E444CE">
        <w:rPr>
          <w:rFonts w:cs="Arial"/>
          <w:lang w:val="cs-CZ"/>
        </w:rPr>
        <w:t xml:space="preserve">nástroje nárokové, jejichž použití se může soukromoprávní subjekt </w:t>
      </w:r>
      <w:r w:rsidR="007B4163">
        <w:rPr>
          <w:rFonts w:cs="Arial"/>
          <w:lang w:val="cs-CZ"/>
        </w:rPr>
        <w:t xml:space="preserve">aktivně </w:t>
      </w:r>
      <w:r w:rsidR="00E444CE">
        <w:rPr>
          <w:rFonts w:cs="Arial"/>
          <w:lang w:val="cs-CZ"/>
        </w:rPr>
        <w:t>domáhat.</w:t>
      </w:r>
      <w:r w:rsidR="00E444CE">
        <w:rPr>
          <w:rStyle w:val="Znakapoznpodarou"/>
          <w:rFonts w:cs="Arial"/>
          <w:lang w:val="cs-CZ"/>
        </w:rPr>
        <w:footnoteReference w:id="139"/>
      </w:r>
      <w:r w:rsidR="00E444CE">
        <w:rPr>
          <w:rFonts w:cs="Arial"/>
          <w:lang w:val="cs-CZ"/>
        </w:rPr>
        <w:t xml:space="preserve"> </w:t>
      </w:r>
    </w:p>
    <w:p w14:paraId="4BE47E86" w14:textId="77777777" w:rsidR="008E06B9" w:rsidRPr="002F6D79" w:rsidRDefault="008E06B9" w:rsidP="00C95099">
      <w:pPr>
        <w:pStyle w:val="Nadpis2"/>
        <w:numPr>
          <w:ilvl w:val="1"/>
          <w:numId w:val="3"/>
        </w:numPr>
        <w:ind w:left="357" w:hanging="357"/>
      </w:pPr>
      <w:bookmarkStart w:id="249" w:name="_Toc301423708"/>
      <w:r w:rsidRPr="002F6D79">
        <w:t>Analýzy relevantních trhů</w:t>
      </w:r>
      <w:bookmarkEnd w:id="249"/>
    </w:p>
    <w:p w14:paraId="17D6B69F" w14:textId="77777777" w:rsidR="00FA39E8" w:rsidRPr="002F6D79" w:rsidRDefault="00FA39E8" w:rsidP="00C95099">
      <w:pPr>
        <w:pStyle w:val="Nadpis2"/>
        <w:numPr>
          <w:ilvl w:val="2"/>
          <w:numId w:val="3"/>
        </w:numPr>
        <w:rPr>
          <w:b w:val="0"/>
          <w:i/>
        </w:rPr>
      </w:pPr>
      <w:bookmarkStart w:id="250" w:name="_Toc301423709"/>
      <w:r w:rsidRPr="002F6D79">
        <w:rPr>
          <w:b w:val="0"/>
          <w:i/>
        </w:rPr>
        <w:t>Kompetence</w:t>
      </w:r>
      <w:r w:rsidR="002345D1" w:rsidRPr="002F6D79">
        <w:rPr>
          <w:b w:val="0"/>
          <w:i/>
        </w:rPr>
        <w:t xml:space="preserve"> dle Zákona</w:t>
      </w:r>
      <w:bookmarkEnd w:id="250"/>
    </w:p>
    <w:p w14:paraId="2328A05F" w14:textId="28ECE03E" w:rsidR="002345D1" w:rsidRPr="002345D1" w:rsidRDefault="002345D1" w:rsidP="005916AF">
      <w:pPr>
        <w:ind w:firstLine="567"/>
        <w:rPr>
          <w:lang w:val="cs-CZ"/>
        </w:rPr>
      </w:pPr>
      <w:r w:rsidRPr="002345D1">
        <w:rPr>
          <w:lang w:val="cs-CZ"/>
        </w:rPr>
        <w:t xml:space="preserve">Úřad </w:t>
      </w:r>
      <w:r>
        <w:rPr>
          <w:lang w:val="cs-CZ"/>
        </w:rPr>
        <w:t xml:space="preserve">je oprávněn provádět analýzy relevantních trhů v souladu s §§ 51 – 53 Zákona. </w:t>
      </w:r>
      <w:r w:rsidR="00A82B6D">
        <w:rPr>
          <w:lang w:val="cs-CZ"/>
        </w:rPr>
        <w:t>A</w:t>
      </w:r>
      <w:r>
        <w:rPr>
          <w:lang w:val="cs-CZ"/>
        </w:rPr>
        <w:t>nalýzy mají za cíl vyhodnotit, zda jsou</w:t>
      </w:r>
      <w:r w:rsidRPr="002345D1">
        <w:rPr>
          <w:lang w:val="cs-CZ"/>
        </w:rPr>
        <w:t xml:space="preserve"> tyto trhy efektivně konkurenční</w:t>
      </w:r>
      <w:r w:rsidR="009E7A50">
        <w:rPr>
          <w:lang w:val="cs-CZ"/>
        </w:rPr>
        <w:t>,</w:t>
      </w:r>
      <w:r>
        <w:rPr>
          <w:lang w:val="cs-CZ"/>
        </w:rPr>
        <w:t xml:space="preserve"> a pokud shledá, že</w:t>
      </w:r>
      <w:r w:rsidR="00DC236A">
        <w:rPr>
          <w:lang w:val="cs-CZ"/>
        </w:rPr>
        <w:t> </w:t>
      </w:r>
      <w:r>
        <w:rPr>
          <w:lang w:val="cs-CZ"/>
        </w:rPr>
        <w:t>tomu tak není, je oprávněn ukládat identifikovaným podnikům s významnou tržní silou nápravná opatření</w:t>
      </w:r>
      <w:r w:rsidR="00A82B6D">
        <w:rPr>
          <w:lang w:val="cs-CZ"/>
        </w:rPr>
        <w:t>. Z</w:t>
      </w:r>
      <w:r w:rsidR="002E7F07">
        <w:rPr>
          <w:lang w:val="cs-CZ"/>
        </w:rPr>
        <w:t>e znění Z</w:t>
      </w:r>
      <w:r w:rsidR="00A82B6D">
        <w:rPr>
          <w:lang w:val="cs-CZ"/>
        </w:rPr>
        <w:t>ákona vyplývá,</w:t>
      </w:r>
      <w:r w:rsidR="002E7F07">
        <w:rPr>
          <w:rStyle w:val="Znakapoznpodarou"/>
          <w:lang w:val="cs-CZ"/>
        </w:rPr>
        <w:footnoteReference w:id="140"/>
      </w:r>
      <w:r w:rsidR="00A82B6D">
        <w:rPr>
          <w:lang w:val="cs-CZ"/>
        </w:rPr>
        <w:t xml:space="preserve"> že významné tržní síly může podnik dosáhnout nejen individuálně, ale i ve spojení s jiným subjektem na relevantním trhu. </w:t>
      </w:r>
      <w:r w:rsidR="002E7F07">
        <w:rPr>
          <w:lang w:val="cs-CZ"/>
        </w:rPr>
        <w:t>Pokud by</w:t>
      </w:r>
      <w:r w:rsidR="00A82B6D">
        <w:rPr>
          <w:lang w:val="cs-CZ"/>
        </w:rPr>
        <w:t xml:space="preserve"> v důsledku sdílení sítí došlo k přeskupení tržní síly na relevantních trzích</w:t>
      </w:r>
      <w:r w:rsidR="002E7F07">
        <w:rPr>
          <w:lang w:val="cs-CZ"/>
        </w:rPr>
        <w:t>,</w:t>
      </w:r>
      <w:r w:rsidR="00A82B6D">
        <w:rPr>
          <w:lang w:val="cs-CZ"/>
        </w:rPr>
        <w:t xml:space="preserve"> </w:t>
      </w:r>
      <w:r w:rsidR="00840516">
        <w:rPr>
          <w:lang w:val="cs-CZ"/>
        </w:rPr>
        <w:t xml:space="preserve">Úřad by </w:t>
      </w:r>
      <w:r w:rsidR="002E7F07">
        <w:rPr>
          <w:lang w:val="cs-CZ"/>
        </w:rPr>
        <w:t xml:space="preserve">mohl </w:t>
      </w:r>
      <w:r w:rsidR="00840516">
        <w:rPr>
          <w:lang w:val="cs-CZ"/>
        </w:rPr>
        <w:t>tuto kompetenci využ</w:t>
      </w:r>
      <w:r w:rsidR="002E7F07">
        <w:rPr>
          <w:lang w:val="cs-CZ"/>
        </w:rPr>
        <w:t>ít</w:t>
      </w:r>
      <w:r w:rsidR="00840516">
        <w:rPr>
          <w:lang w:val="cs-CZ"/>
        </w:rPr>
        <w:t>. Z</w:t>
      </w:r>
      <w:r w:rsidR="002E7F07">
        <w:rPr>
          <w:lang w:val="cs-CZ"/>
        </w:rPr>
        <w:t> § 51 odst. </w:t>
      </w:r>
      <w:r w:rsidR="00840516">
        <w:rPr>
          <w:lang w:val="cs-CZ"/>
        </w:rPr>
        <w:t xml:space="preserve">2 Zákona lze </w:t>
      </w:r>
      <w:r w:rsidR="002E7F07">
        <w:rPr>
          <w:lang w:val="cs-CZ"/>
        </w:rPr>
        <w:t>dovodit</w:t>
      </w:r>
      <w:r w:rsidR="00840516">
        <w:rPr>
          <w:lang w:val="cs-CZ"/>
        </w:rPr>
        <w:t xml:space="preserve">, že nová analýza relevantního trhu </w:t>
      </w:r>
      <w:r w:rsidR="002E7F07">
        <w:rPr>
          <w:lang w:val="cs-CZ"/>
        </w:rPr>
        <w:t xml:space="preserve">by </w:t>
      </w:r>
      <w:r w:rsidR="00840516">
        <w:rPr>
          <w:lang w:val="cs-CZ"/>
        </w:rPr>
        <w:t xml:space="preserve">měla být prováděna nejdříve po uplynutí jednoho roku od právní moci </w:t>
      </w:r>
      <w:r w:rsidR="00840516" w:rsidRPr="00840516">
        <w:rPr>
          <w:lang w:val="cs-CZ"/>
        </w:rPr>
        <w:t xml:space="preserve">rozhodnutí, kterým </w:t>
      </w:r>
      <w:r w:rsidR="00840516">
        <w:rPr>
          <w:lang w:val="cs-CZ"/>
        </w:rPr>
        <w:t xml:space="preserve">Úřad </w:t>
      </w:r>
      <w:r w:rsidR="00840516" w:rsidRPr="00840516">
        <w:rPr>
          <w:lang w:val="cs-CZ"/>
        </w:rPr>
        <w:t>podniku s významnou tržní silou uložil povinnosti</w:t>
      </w:r>
      <w:r w:rsidR="00840516">
        <w:rPr>
          <w:lang w:val="cs-CZ"/>
        </w:rPr>
        <w:t xml:space="preserve"> dle Zákona.</w:t>
      </w:r>
    </w:p>
    <w:p w14:paraId="689D0F3C" w14:textId="77777777" w:rsidR="002345D1" w:rsidRPr="002F6D79" w:rsidRDefault="002345D1" w:rsidP="005916AF">
      <w:pPr>
        <w:pStyle w:val="Nadpis2"/>
        <w:keepNext w:val="0"/>
        <w:numPr>
          <w:ilvl w:val="2"/>
          <w:numId w:val="3"/>
        </w:numPr>
        <w:rPr>
          <w:b w:val="0"/>
          <w:i/>
        </w:rPr>
      </w:pPr>
      <w:bookmarkStart w:id="251" w:name="_Toc301423710"/>
      <w:r w:rsidRPr="002F6D79">
        <w:rPr>
          <w:b w:val="0"/>
          <w:i/>
        </w:rPr>
        <w:t>Uplatnění</w:t>
      </w:r>
      <w:bookmarkEnd w:id="251"/>
    </w:p>
    <w:p w14:paraId="6C5E6FDF" w14:textId="226372AE" w:rsidR="00A404F1" w:rsidRDefault="00933698" w:rsidP="005916AF">
      <w:pPr>
        <w:ind w:firstLine="567"/>
        <w:rPr>
          <w:lang w:val="cs-CZ"/>
        </w:rPr>
      </w:pPr>
      <w:r w:rsidRPr="00475828">
        <w:rPr>
          <w:lang w:val="cs-CZ"/>
        </w:rPr>
        <w:t>Sdílení sítí mezi TMCZ a O2 (případně v budoucnu i dalšími operátory) může mít za</w:t>
      </w:r>
      <w:r w:rsidR="00DC236A">
        <w:rPr>
          <w:lang w:val="cs-CZ"/>
        </w:rPr>
        <w:t> </w:t>
      </w:r>
      <w:r w:rsidRPr="00475828">
        <w:rPr>
          <w:lang w:val="cs-CZ"/>
        </w:rPr>
        <w:t xml:space="preserve">následek zvýšení tržní síly některého z operátorů a </w:t>
      </w:r>
      <w:r w:rsidR="00C13E31">
        <w:rPr>
          <w:lang w:val="cs-CZ"/>
        </w:rPr>
        <w:t xml:space="preserve">dále </w:t>
      </w:r>
      <w:r w:rsidRPr="00475828">
        <w:rPr>
          <w:lang w:val="cs-CZ"/>
        </w:rPr>
        <w:t>může mít vliv na vyhodnocení některých kritérií společné dominance</w:t>
      </w:r>
      <w:r w:rsidR="00C13E31">
        <w:rPr>
          <w:lang w:val="cs-CZ"/>
        </w:rPr>
        <w:t xml:space="preserve"> ve vztahu ke sdílejícím operátorům</w:t>
      </w:r>
      <w:r w:rsidRPr="00475828">
        <w:rPr>
          <w:lang w:val="cs-CZ"/>
        </w:rPr>
        <w:t>. Úřad bude při přípravě aktualizovaných analýz relevantních trhů brát v potaz i stav sdílení infrastruktury mezi operátory na relevantním trhu</w:t>
      </w:r>
      <w:r w:rsidR="001267FC">
        <w:rPr>
          <w:lang w:val="cs-CZ"/>
        </w:rPr>
        <w:t xml:space="preserve"> </w:t>
      </w:r>
      <w:r w:rsidR="001267FC" w:rsidRPr="001267FC">
        <w:rPr>
          <w:lang w:val="cs-CZ"/>
        </w:rPr>
        <w:t>přístup a původ volání (</w:t>
      </w:r>
      <w:proofErr w:type="spellStart"/>
      <w:r w:rsidR="001267FC" w:rsidRPr="001267FC">
        <w:rPr>
          <w:lang w:val="cs-CZ"/>
        </w:rPr>
        <w:t>originace</w:t>
      </w:r>
      <w:proofErr w:type="spellEnd"/>
      <w:r w:rsidR="001267FC" w:rsidRPr="001267FC">
        <w:rPr>
          <w:lang w:val="cs-CZ"/>
        </w:rPr>
        <w:t>) ve veřejných mobilních telefonních sítích</w:t>
      </w:r>
      <w:r w:rsidRPr="00475828">
        <w:rPr>
          <w:lang w:val="cs-CZ"/>
        </w:rPr>
        <w:t xml:space="preserve">. Nicméně Úřad se nedomnívá, že by sdílení sítí samo o sobě </w:t>
      </w:r>
      <w:r w:rsidR="00840516">
        <w:rPr>
          <w:lang w:val="cs-CZ"/>
        </w:rPr>
        <w:t xml:space="preserve">v tuto chvíli </w:t>
      </w:r>
      <w:r w:rsidRPr="00475828">
        <w:rPr>
          <w:lang w:val="cs-CZ"/>
        </w:rPr>
        <w:t xml:space="preserve">vyvolávalo nutnost zahájit proces analýzy některého relevantního trhu. </w:t>
      </w:r>
      <w:r w:rsidR="001D476D">
        <w:rPr>
          <w:lang w:val="cs-CZ"/>
        </w:rPr>
        <w:t>Vzhledem k</w:t>
      </w:r>
      <w:r w:rsidR="00247FC2">
        <w:rPr>
          <w:lang w:val="cs-CZ"/>
        </w:rPr>
        <w:t> </w:t>
      </w:r>
      <w:r w:rsidR="001D476D">
        <w:rPr>
          <w:lang w:val="cs-CZ"/>
        </w:rPr>
        <w:t>tomu</w:t>
      </w:r>
      <w:r w:rsidR="00840516">
        <w:rPr>
          <w:lang w:val="cs-CZ"/>
        </w:rPr>
        <w:t>, že</w:t>
      </w:r>
      <w:r w:rsidR="00DC236A">
        <w:rPr>
          <w:lang w:val="cs-CZ"/>
        </w:rPr>
        <w:t> </w:t>
      </w:r>
      <w:r w:rsidR="00840516">
        <w:rPr>
          <w:lang w:val="cs-CZ"/>
        </w:rPr>
        <w:t>má Úřad povinnost provádět analýzy relevantních trhů v pravidelných intervalech</w:t>
      </w:r>
      <w:r w:rsidR="001D476D">
        <w:rPr>
          <w:lang w:val="cs-CZ"/>
        </w:rPr>
        <w:t>, které by standardně neměly přesáhnout tři roky</w:t>
      </w:r>
      <w:r w:rsidR="001D476D">
        <w:rPr>
          <w:rStyle w:val="Znakapoznpodarou"/>
          <w:lang w:val="cs-CZ"/>
        </w:rPr>
        <w:footnoteReference w:id="141"/>
      </w:r>
      <w:r w:rsidR="00840516">
        <w:rPr>
          <w:lang w:val="cs-CZ"/>
        </w:rPr>
        <w:t xml:space="preserve">, </w:t>
      </w:r>
      <w:r w:rsidR="001D476D">
        <w:rPr>
          <w:lang w:val="cs-CZ"/>
        </w:rPr>
        <w:t xml:space="preserve">bude Úřad schopen reflektovat případné dopady sdílení sítí </w:t>
      </w:r>
      <w:r w:rsidR="00E22406">
        <w:rPr>
          <w:lang w:val="cs-CZ"/>
        </w:rPr>
        <w:t xml:space="preserve">na hospodářskou soutěž </w:t>
      </w:r>
      <w:r w:rsidR="001D476D">
        <w:rPr>
          <w:lang w:val="cs-CZ"/>
        </w:rPr>
        <w:t xml:space="preserve">v analýzách relevantních trhů tak, aby </w:t>
      </w:r>
      <w:r w:rsidR="00E22406">
        <w:rPr>
          <w:lang w:val="cs-CZ"/>
        </w:rPr>
        <w:t>nedošlo</w:t>
      </w:r>
      <w:r w:rsidR="001D476D">
        <w:rPr>
          <w:lang w:val="cs-CZ"/>
        </w:rPr>
        <w:t xml:space="preserve"> k</w:t>
      </w:r>
      <w:r w:rsidR="00E22406">
        <w:rPr>
          <w:lang w:val="cs-CZ"/>
        </w:rPr>
        <w:t> narušení hospodářské soutěže nebo ohrožení</w:t>
      </w:r>
      <w:r w:rsidR="001D476D">
        <w:rPr>
          <w:lang w:val="cs-CZ"/>
        </w:rPr>
        <w:t xml:space="preserve"> mimo</w:t>
      </w:r>
      <w:r w:rsidR="009E7A50">
        <w:rPr>
          <w:lang w:val="cs-CZ"/>
        </w:rPr>
        <w:t xml:space="preserve"> </w:t>
      </w:r>
      <w:r w:rsidR="001D476D">
        <w:rPr>
          <w:lang w:val="cs-CZ"/>
        </w:rPr>
        <w:t xml:space="preserve">stojících soutěžitelů. </w:t>
      </w:r>
    </w:p>
    <w:p w14:paraId="7DF6C09C" w14:textId="77777777" w:rsidR="00A404F1" w:rsidRDefault="00A404F1" w:rsidP="005916AF">
      <w:pPr>
        <w:pStyle w:val="Odstavecseseznamem"/>
        <w:ind w:left="0" w:firstLine="567"/>
        <w:rPr>
          <w:rFonts w:cs="Arial"/>
          <w:szCs w:val="20"/>
          <w:lang w:val="cs-CZ"/>
        </w:rPr>
      </w:pPr>
      <w:r w:rsidRPr="00475828">
        <w:rPr>
          <w:rFonts w:cs="Arial"/>
          <w:szCs w:val="20"/>
          <w:lang w:val="cs-CZ"/>
        </w:rPr>
        <w:t xml:space="preserve">Sdílení sítí bude v kontextu analýz trhů notné zohlednit zejména při vyhodnocování naplnění kritérií společné významné tržní síly společností TMCZ a O2 podle základních kritérií použitých v rozhodnutí </w:t>
      </w:r>
      <w:proofErr w:type="spellStart"/>
      <w:r w:rsidRPr="00475828">
        <w:rPr>
          <w:rFonts w:cs="Arial"/>
          <w:szCs w:val="20"/>
          <w:lang w:val="cs-CZ"/>
        </w:rPr>
        <w:t>Airtours</w:t>
      </w:r>
      <w:proofErr w:type="spellEnd"/>
      <w:r w:rsidRPr="00475828">
        <w:rPr>
          <w:rStyle w:val="Znakapoznpodarou"/>
          <w:rFonts w:cs="Arial"/>
          <w:szCs w:val="20"/>
          <w:lang w:val="cs-CZ"/>
        </w:rPr>
        <w:footnoteReference w:id="142"/>
      </w:r>
      <w:r w:rsidRPr="00475828">
        <w:rPr>
          <w:rFonts w:cs="Arial"/>
          <w:szCs w:val="20"/>
          <w:lang w:val="cs-CZ"/>
        </w:rPr>
        <w:t>. Pro konstatování společné významné tržní síly je nutné, aby</w:t>
      </w:r>
      <w:r w:rsidR="00DC236A">
        <w:rPr>
          <w:rFonts w:cs="Arial"/>
          <w:szCs w:val="20"/>
          <w:lang w:val="cs-CZ"/>
        </w:rPr>
        <w:t> </w:t>
      </w:r>
      <w:r w:rsidRPr="00475828">
        <w:rPr>
          <w:rFonts w:cs="Arial"/>
          <w:szCs w:val="20"/>
          <w:lang w:val="cs-CZ"/>
        </w:rPr>
        <w:t xml:space="preserve">byla splněna všechna kritéria vyplývající z rozhodnutí </w:t>
      </w:r>
      <w:proofErr w:type="spellStart"/>
      <w:r w:rsidRPr="00475828">
        <w:rPr>
          <w:rFonts w:cs="Arial"/>
          <w:szCs w:val="20"/>
          <w:lang w:val="cs-CZ"/>
        </w:rPr>
        <w:t>Airtours</w:t>
      </w:r>
      <w:proofErr w:type="spellEnd"/>
      <w:r w:rsidRPr="00475828">
        <w:rPr>
          <w:rFonts w:cs="Arial"/>
          <w:szCs w:val="20"/>
          <w:lang w:val="cs-CZ"/>
        </w:rPr>
        <w:t>. Vyhodnocení společné významné tržní síly lze tedy v současné situaci ve vztahu ke sdílení sítí shrnout následovně:</w:t>
      </w:r>
    </w:p>
    <w:p w14:paraId="0DD590D8" w14:textId="101A6D9E" w:rsidR="00AF0581" w:rsidRPr="00475828" w:rsidRDefault="00AF0581" w:rsidP="00C95099">
      <w:pPr>
        <w:spacing w:before="0" w:after="0" w:line="240" w:lineRule="auto"/>
        <w:jc w:val="left"/>
        <w:rPr>
          <w:rFonts w:cs="Arial"/>
          <w:szCs w:val="20"/>
          <w:lang w:val="cs-CZ"/>
        </w:rPr>
      </w:pPr>
    </w:p>
    <w:tbl>
      <w:tblPr>
        <w:tblStyle w:val="Svtlmka2"/>
        <w:tblW w:w="8505" w:type="dxa"/>
        <w:tblInd w:w="108" w:type="dxa"/>
        <w:tblLook w:val="04A0" w:firstRow="1" w:lastRow="0" w:firstColumn="1" w:lastColumn="0" w:noHBand="0" w:noVBand="1"/>
      </w:tblPr>
      <w:tblGrid>
        <w:gridCol w:w="4111"/>
        <w:gridCol w:w="4394"/>
      </w:tblGrid>
      <w:tr w:rsidR="00A404F1" w:rsidRPr="00843D00" w14:paraId="0D5E4060" w14:textId="77777777" w:rsidTr="00A404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shd w:val="clear" w:color="auto" w:fill="4BACC6" w:themeFill="accent5"/>
          </w:tcPr>
          <w:p w14:paraId="2DD79D81" w14:textId="77777777" w:rsidR="00A404F1" w:rsidRPr="00475828" w:rsidRDefault="00A404F1" w:rsidP="005916AF">
            <w:pPr>
              <w:rPr>
                <w:szCs w:val="20"/>
                <w:lang w:val="cs-CZ"/>
              </w:rPr>
            </w:pPr>
            <w:r w:rsidRPr="00475828">
              <w:rPr>
                <w:szCs w:val="20"/>
                <w:lang w:val="cs-CZ"/>
              </w:rPr>
              <w:t xml:space="preserve">Kritérium dle rozhodnutí </w:t>
            </w:r>
            <w:proofErr w:type="spellStart"/>
            <w:r w:rsidRPr="00475828">
              <w:rPr>
                <w:szCs w:val="20"/>
                <w:lang w:val="cs-CZ"/>
              </w:rPr>
              <w:t>Airtours</w:t>
            </w:r>
            <w:proofErr w:type="spellEnd"/>
          </w:p>
        </w:tc>
        <w:tc>
          <w:tcPr>
            <w:tcW w:w="4394" w:type="dxa"/>
            <w:shd w:val="clear" w:color="auto" w:fill="4BACC6" w:themeFill="accent5"/>
          </w:tcPr>
          <w:p w14:paraId="43C23B00" w14:textId="77777777" w:rsidR="00A404F1" w:rsidRPr="00475828" w:rsidRDefault="00A404F1" w:rsidP="005916AF">
            <w:pPr>
              <w:cnfStyle w:val="100000000000" w:firstRow="1" w:lastRow="0" w:firstColumn="0" w:lastColumn="0" w:oddVBand="0" w:evenVBand="0" w:oddHBand="0" w:evenHBand="0" w:firstRowFirstColumn="0" w:firstRowLastColumn="0" w:lastRowFirstColumn="0" w:lastRowLastColumn="0"/>
              <w:rPr>
                <w:szCs w:val="20"/>
                <w:lang w:val="cs-CZ"/>
              </w:rPr>
            </w:pPr>
            <w:r w:rsidRPr="00475828">
              <w:rPr>
                <w:szCs w:val="20"/>
                <w:lang w:val="cs-CZ"/>
              </w:rPr>
              <w:t>Posouzení dopadu smluv o sdílení sítí na dané kritérium</w:t>
            </w:r>
          </w:p>
        </w:tc>
      </w:tr>
      <w:tr w:rsidR="00A404F1" w:rsidRPr="00843D00" w14:paraId="6A7238E2" w14:textId="77777777" w:rsidTr="00A404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73D86063" w14:textId="77777777" w:rsidR="00A404F1" w:rsidRPr="00475828" w:rsidRDefault="00A404F1" w:rsidP="005916AF">
            <w:pPr>
              <w:rPr>
                <w:szCs w:val="20"/>
                <w:lang w:val="cs-CZ"/>
              </w:rPr>
            </w:pPr>
            <w:r w:rsidRPr="00475828">
              <w:rPr>
                <w:szCs w:val="20"/>
                <w:lang w:val="cs-CZ"/>
              </w:rPr>
              <w:t xml:space="preserve">a) Dostatečná </w:t>
            </w:r>
            <w:r w:rsidRPr="00475828">
              <w:rPr>
                <w:b w:val="0"/>
                <w:szCs w:val="20"/>
                <w:lang w:val="cs-CZ"/>
              </w:rPr>
              <w:t>transparentnost</w:t>
            </w:r>
            <w:r w:rsidRPr="00475828">
              <w:rPr>
                <w:szCs w:val="20"/>
                <w:lang w:val="cs-CZ"/>
              </w:rPr>
              <w:t xml:space="preserve"> trhu, aby člen oligopolu mohl zjistit chování ostatních členů.</w:t>
            </w:r>
          </w:p>
        </w:tc>
        <w:tc>
          <w:tcPr>
            <w:tcW w:w="4394" w:type="dxa"/>
          </w:tcPr>
          <w:p w14:paraId="4EF6BB09" w14:textId="77777777" w:rsidR="00AF0581" w:rsidRPr="00475828" w:rsidRDefault="00E22406" w:rsidP="005916AF">
            <w:pPr>
              <w:cnfStyle w:val="000000100000" w:firstRow="0" w:lastRow="0" w:firstColumn="0" w:lastColumn="0" w:oddVBand="0" w:evenVBand="0" w:oddHBand="1" w:evenHBand="0" w:firstRowFirstColumn="0" w:firstRowLastColumn="0" w:lastRowFirstColumn="0" w:lastRowLastColumn="0"/>
              <w:rPr>
                <w:szCs w:val="20"/>
                <w:lang w:val="cs-CZ"/>
              </w:rPr>
            </w:pPr>
            <w:r w:rsidRPr="00E22406">
              <w:rPr>
                <w:szCs w:val="20"/>
                <w:lang w:val="cs-CZ"/>
              </w:rPr>
              <w:t>Smlouvy mohou zvýšit pravděpodobnost splnění tohoto kritéria na relevantních trzích, kterých se sdílení sítí týká a to zejména v důsledku nezbytné koordinace některých otázek v rámci sdílení sítí a případně výměny informací mezi sdílejícími operátory.</w:t>
            </w:r>
            <w:r w:rsidR="00A404F1" w:rsidRPr="00E22406">
              <w:rPr>
                <w:szCs w:val="20"/>
                <w:lang w:val="cs-CZ"/>
              </w:rPr>
              <w:t xml:space="preserve"> </w:t>
            </w:r>
            <w:r w:rsidR="00A404F1" w:rsidRPr="00475828">
              <w:rPr>
                <w:szCs w:val="20"/>
                <w:lang w:val="cs-CZ"/>
              </w:rPr>
              <w:t>Na</w:t>
            </w:r>
            <w:r w:rsidR="00DC236A">
              <w:rPr>
                <w:szCs w:val="20"/>
                <w:lang w:val="cs-CZ"/>
              </w:rPr>
              <w:t> </w:t>
            </w:r>
            <w:r w:rsidR="00A404F1" w:rsidRPr="00475828">
              <w:rPr>
                <w:szCs w:val="20"/>
                <w:lang w:val="cs-CZ"/>
              </w:rPr>
              <w:t xml:space="preserve">druhou stranu </w:t>
            </w:r>
            <w:r w:rsidR="00A404F1" w:rsidRPr="008A08AB">
              <w:rPr>
                <w:szCs w:val="20"/>
                <w:lang w:val="cs-CZ"/>
              </w:rPr>
              <w:t>je ze smluv o sdílení patrná snaha o vymezení přesného okruhu sdílených informací</w:t>
            </w:r>
            <w:r w:rsidR="00A404F1" w:rsidRPr="00475828">
              <w:rPr>
                <w:szCs w:val="20"/>
                <w:lang w:val="cs-CZ"/>
              </w:rPr>
              <w:t xml:space="preserve"> a lze předpokládat další omezení výměny informací</w:t>
            </w:r>
            <w:r>
              <w:rPr>
                <w:szCs w:val="20"/>
                <w:lang w:val="cs-CZ"/>
              </w:rPr>
              <w:t xml:space="preserve"> v důsledku plánovaných změn korporátní struktury společnosti O2.</w:t>
            </w:r>
            <w:r w:rsidR="00AF0581">
              <w:rPr>
                <w:szCs w:val="20"/>
                <w:lang w:val="cs-CZ"/>
              </w:rPr>
              <w:br/>
            </w:r>
          </w:p>
        </w:tc>
      </w:tr>
      <w:tr w:rsidR="00A404F1" w:rsidRPr="00843D00" w14:paraId="6CC103C9" w14:textId="77777777" w:rsidTr="00A404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shd w:val="clear" w:color="auto" w:fill="B6DDE8" w:themeFill="accent5" w:themeFillTint="66"/>
          </w:tcPr>
          <w:p w14:paraId="3AFD3687" w14:textId="77777777" w:rsidR="00A404F1" w:rsidRPr="00475828" w:rsidRDefault="00A404F1" w:rsidP="005916AF">
            <w:pPr>
              <w:rPr>
                <w:szCs w:val="20"/>
                <w:lang w:val="cs-CZ"/>
              </w:rPr>
            </w:pPr>
            <w:r w:rsidRPr="00475828">
              <w:rPr>
                <w:szCs w:val="20"/>
                <w:lang w:val="cs-CZ"/>
              </w:rPr>
              <w:t xml:space="preserve">b) Stav </w:t>
            </w:r>
            <w:proofErr w:type="spellStart"/>
            <w:r w:rsidRPr="00475828">
              <w:rPr>
                <w:szCs w:val="20"/>
                <w:lang w:val="cs-CZ"/>
              </w:rPr>
              <w:t>tacitní</w:t>
            </w:r>
            <w:proofErr w:type="spellEnd"/>
            <w:r w:rsidRPr="00475828">
              <w:rPr>
                <w:szCs w:val="20"/>
                <w:lang w:val="cs-CZ"/>
              </w:rPr>
              <w:t xml:space="preserve"> koordinace musí být </w:t>
            </w:r>
            <w:r w:rsidRPr="00475828">
              <w:rPr>
                <w:b w:val="0"/>
                <w:szCs w:val="20"/>
                <w:lang w:val="cs-CZ"/>
              </w:rPr>
              <w:t>udržitelný</w:t>
            </w:r>
            <w:r w:rsidRPr="00475828">
              <w:rPr>
                <w:szCs w:val="20"/>
                <w:lang w:val="cs-CZ"/>
              </w:rPr>
              <w:t xml:space="preserve"> v čase, musí proto existovat možnost </w:t>
            </w:r>
            <w:r w:rsidRPr="00475828">
              <w:rPr>
                <w:b w:val="0"/>
                <w:szCs w:val="20"/>
                <w:lang w:val="cs-CZ"/>
              </w:rPr>
              <w:t>odvetných opatření</w:t>
            </w:r>
            <w:r w:rsidRPr="00475828">
              <w:rPr>
                <w:szCs w:val="20"/>
                <w:lang w:val="cs-CZ"/>
              </w:rPr>
              <w:t>, kterými může být odchylka od společné strategie potrestána tak, že se stane nevýhodnou.</w:t>
            </w:r>
          </w:p>
        </w:tc>
        <w:tc>
          <w:tcPr>
            <w:tcW w:w="4394" w:type="dxa"/>
            <w:shd w:val="clear" w:color="auto" w:fill="B6DDE8" w:themeFill="accent5" w:themeFillTint="66"/>
          </w:tcPr>
          <w:p w14:paraId="1F21BF9F" w14:textId="77777777" w:rsidR="00AF0581" w:rsidRPr="00E22406" w:rsidRDefault="00E22406" w:rsidP="00C95099">
            <w:pPr>
              <w:keepNext/>
              <w:cnfStyle w:val="000000010000" w:firstRow="0" w:lastRow="0" w:firstColumn="0" w:lastColumn="0" w:oddVBand="0" w:evenVBand="0" w:oddHBand="0" w:evenHBand="1" w:firstRowFirstColumn="0" w:firstRowLastColumn="0" w:lastRowFirstColumn="0" w:lastRowLastColumn="0"/>
              <w:rPr>
                <w:szCs w:val="20"/>
                <w:lang w:val="cs-CZ"/>
              </w:rPr>
            </w:pPr>
            <w:r w:rsidRPr="00E22406">
              <w:rPr>
                <w:szCs w:val="20"/>
                <w:lang w:val="cs-CZ"/>
              </w:rPr>
              <w:t>Možnost ukončit sdílení sítí jednou ze stran by mohla být vnímána jako jedno z odvetných opatření, které by některá ze stran sdílení mohla využít. Na druhou stranu je třeba zohlednit, že ukončení sdílení sítí by pro</w:t>
            </w:r>
            <w:r w:rsidR="00DC236A">
              <w:rPr>
                <w:szCs w:val="20"/>
                <w:lang w:val="cs-CZ"/>
              </w:rPr>
              <w:t> </w:t>
            </w:r>
            <w:r w:rsidRPr="00E22406">
              <w:rPr>
                <w:szCs w:val="20"/>
                <w:lang w:val="cs-CZ"/>
              </w:rPr>
              <w:t>kteroukoli ze stran sdílení bylo ekonomicky nevýhodné a v praxi může být tudíž toto potenciální odvetné opatření neuplatnitelné.</w:t>
            </w:r>
            <w:r w:rsidR="00AF0581">
              <w:rPr>
                <w:szCs w:val="20"/>
                <w:lang w:val="cs-CZ"/>
              </w:rPr>
              <w:br/>
            </w:r>
          </w:p>
        </w:tc>
      </w:tr>
      <w:tr w:rsidR="00A404F1" w:rsidRPr="00843D00" w14:paraId="7DE22BCD" w14:textId="77777777" w:rsidTr="00A404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43BB2BBB" w14:textId="5C3353FA" w:rsidR="00A404F1" w:rsidRPr="00475828" w:rsidRDefault="00A404F1" w:rsidP="005916AF">
            <w:pPr>
              <w:rPr>
                <w:szCs w:val="20"/>
                <w:lang w:val="cs-CZ"/>
              </w:rPr>
            </w:pPr>
            <w:r w:rsidRPr="00475828">
              <w:rPr>
                <w:szCs w:val="20"/>
                <w:lang w:val="cs-CZ"/>
              </w:rPr>
              <w:t xml:space="preserve">c) Předvídatelná </w:t>
            </w:r>
            <w:r w:rsidRPr="00475828">
              <w:rPr>
                <w:b w:val="0"/>
                <w:szCs w:val="20"/>
                <w:lang w:val="cs-CZ"/>
              </w:rPr>
              <w:t>reakce mimo</w:t>
            </w:r>
            <w:r w:rsidR="009E7A50">
              <w:rPr>
                <w:b w:val="0"/>
                <w:szCs w:val="20"/>
                <w:lang w:val="cs-CZ"/>
              </w:rPr>
              <w:t xml:space="preserve"> </w:t>
            </w:r>
            <w:r w:rsidRPr="00475828">
              <w:rPr>
                <w:b w:val="0"/>
                <w:szCs w:val="20"/>
                <w:lang w:val="cs-CZ"/>
              </w:rPr>
              <w:t>stojících soutěžitelů</w:t>
            </w:r>
            <w:r w:rsidRPr="00475828">
              <w:rPr>
                <w:szCs w:val="20"/>
                <w:lang w:val="cs-CZ"/>
              </w:rPr>
              <w:t xml:space="preserve"> a spotřebitelů nesmí být schopna ohrozit výsledky společného postupu.</w:t>
            </w:r>
          </w:p>
        </w:tc>
        <w:tc>
          <w:tcPr>
            <w:tcW w:w="4394" w:type="dxa"/>
          </w:tcPr>
          <w:p w14:paraId="7E898C8E" w14:textId="382984B3" w:rsidR="00A404F1" w:rsidRPr="00475828" w:rsidRDefault="00A404F1" w:rsidP="005916AF">
            <w:pPr>
              <w:cnfStyle w:val="000000100000" w:firstRow="0" w:lastRow="0" w:firstColumn="0" w:lastColumn="0" w:oddVBand="0" w:evenVBand="0" w:oddHBand="1" w:evenHBand="0" w:firstRowFirstColumn="0" w:firstRowLastColumn="0" w:lastRowFirstColumn="0" w:lastRowLastColumn="0"/>
              <w:rPr>
                <w:szCs w:val="20"/>
                <w:lang w:val="cs-CZ"/>
              </w:rPr>
            </w:pPr>
            <w:r w:rsidRPr="00475828">
              <w:rPr>
                <w:szCs w:val="20"/>
                <w:lang w:val="cs-CZ"/>
              </w:rPr>
              <w:t xml:space="preserve">Lze </w:t>
            </w:r>
            <w:r w:rsidR="00B436DE">
              <w:rPr>
                <w:szCs w:val="20"/>
                <w:lang w:val="cs-CZ"/>
              </w:rPr>
              <w:t>předpokládat</w:t>
            </w:r>
            <w:r w:rsidRPr="00475828">
              <w:rPr>
                <w:szCs w:val="20"/>
                <w:lang w:val="cs-CZ"/>
              </w:rPr>
              <w:t>, že mimo</w:t>
            </w:r>
            <w:r w:rsidR="009E7A50">
              <w:rPr>
                <w:szCs w:val="20"/>
                <w:lang w:val="cs-CZ"/>
              </w:rPr>
              <w:t xml:space="preserve"> </w:t>
            </w:r>
            <w:r w:rsidRPr="00475828">
              <w:rPr>
                <w:szCs w:val="20"/>
                <w:lang w:val="cs-CZ"/>
              </w:rPr>
              <w:t>stojící soutěžitel bude mít možnost se chovat nezávisle a tím narušit případnou společnou významnou tržní sílu společností TMCZ a O2.</w:t>
            </w:r>
          </w:p>
        </w:tc>
      </w:tr>
    </w:tbl>
    <w:p w14:paraId="68B7605D" w14:textId="2BD48991" w:rsidR="008E06B9" w:rsidRPr="00475828" w:rsidRDefault="00A404F1" w:rsidP="005916AF">
      <w:pPr>
        <w:ind w:firstLine="567"/>
        <w:rPr>
          <w:lang w:val="cs-CZ"/>
        </w:rPr>
      </w:pPr>
      <w:r w:rsidRPr="00475828">
        <w:rPr>
          <w:rFonts w:cs="Arial"/>
          <w:szCs w:val="20"/>
          <w:lang w:val="cs-CZ"/>
        </w:rPr>
        <w:t>Vyhodnocení posledního kritéria vychází z ekonomického předpokladu, že i přes úspory vyvolané sdílením sítí má mimo</w:t>
      </w:r>
      <w:r w:rsidR="009E7A50">
        <w:rPr>
          <w:rFonts w:cs="Arial"/>
          <w:szCs w:val="20"/>
          <w:lang w:val="cs-CZ"/>
        </w:rPr>
        <w:t xml:space="preserve"> </w:t>
      </w:r>
      <w:r w:rsidRPr="00475828">
        <w:rPr>
          <w:rFonts w:cs="Arial"/>
          <w:szCs w:val="20"/>
          <w:lang w:val="cs-CZ"/>
        </w:rPr>
        <w:t>stojící operátor možnost chovat se nezávisle na sdílejících operátorech a narušit tak případnou společnou významnou tržní sílu sdílejících operátorů např.</w:t>
      </w:r>
      <w:r w:rsidR="00DC236A">
        <w:rPr>
          <w:rFonts w:cs="Arial"/>
          <w:szCs w:val="20"/>
          <w:lang w:val="cs-CZ"/>
        </w:rPr>
        <w:t> </w:t>
      </w:r>
      <w:r w:rsidRPr="00475828">
        <w:rPr>
          <w:rFonts w:cs="Arial"/>
          <w:szCs w:val="20"/>
          <w:lang w:val="cs-CZ"/>
        </w:rPr>
        <w:t xml:space="preserve">změnou cenotvorby či inovací své sítě pomocí nových </w:t>
      </w:r>
      <w:r w:rsidR="00AF0581" w:rsidRPr="00475828">
        <w:rPr>
          <w:rFonts w:cs="Arial"/>
          <w:szCs w:val="20"/>
          <w:lang w:val="cs-CZ"/>
        </w:rPr>
        <w:t>technologií.</w:t>
      </w:r>
    </w:p>
    <w:p w14:paraId="5DF8CA97" w14:textId="77777777" w:rsidR="008E06B9" w:rsidRPr="002F6D79" w:rsidRDefault="008E06B9" w:rsidP="005916AF">
      <w:pPr>
        <w:pStyle w:val="Nadpis2"/>
        <w:keepNext w:val="0"/>
        <w:numPr>
          <w:ilvl w:val="1"/>
          <w:numId w:val="3"/>
        </w:numPr>
      </w:pPr>
      <w:bookmarkStart w:id="252" w:name="_Toc301423711"/>
      <w:r w:rsidRPr="002F6D79">
        <w:t>Příprava podmínek výběrových řízení za účelem udělení práv k využívání rádiových kmitočtů</w:t>
      </w:r>
      <w:bookmarkEnd w:id="252"/>
    </w:p>
    <w:p w14:paraId="2C80F7E5" w14:textId="77777777" w:rsidR="001D476D" w:rsidRPr="002F6D79" w:rsidRDefault="001D476D" w:rsidP="005916AF">
      <w:pPr>
        <w:pStyle w:val="Nadpis2"/>
        <w:keepNext w:val="0"/>
        <w:numPr>
          <w:ilvl w:val="2"/>
          <w:numId w:val="3"/>
        </w:numPr>
        <w:rPr>
          <w:b w:val="0"/>
          <w:i/>
        </w:rPr>
      </w:pPr>
      <w:bookmarkStart w:id="253" w:name="_Toc301423712"/>
      <w:r w:rsidRPr="002F6D79">
        <w:rPr>
          <w:b w:val="0"/>
          <w:i/>
        </w:rPr>
        <w:t>Kompetence dle Zákona</w:t>
      </w:r>
      <w:bookmarkEnd w:id="253"/>
    </w:p>
    <w:p w14:paraId="6AB2DB63" w14:textId="77777777" w:rsidR="001D476D" w:rsidRPr="001D476D" w:rsidRDefault="001D476D" w:rsidP="005916AF">
      <w:pPr>
        <w:ind w:firstLine="567"/>
        <w:rPr>
          <w:lang w:val="cs-CZ"/>
        </w:rPr>
      </w:pPr>
      <w:r>
        <w:rPr>
          <w:lang w:val="cs-CZ"/>
        </w:rPr>
        <w:t xml:space="preserve">Úřad v souladu s § 21 Zákona zajišťuje </w:t>
      </w:r>
      <w:r w:rsidR="00DD6A28">
        <w:rPr>
          <w:lang w:val="cs-CZ"/>
        </w:rPr>
        <w:t xml:space="preserve">přidělování rádiových kmitočtů prostřednictvím </w:t>
      </w:r>
      <w:r w:rsidR="00DD6A28" w:rsidRPr="00DD6A28">
        <w:rPr>
          <w:lang w:val="cs-CZ"/>
        </w:rPr>
        <w:t>výběrov</w:t>
      </w:r>
      <w:r w:rsidR="00DD6A28">
        <w:rPr>
          <w:lang w:val="cs-CZ"/>
        </w:rPr>
        <w:t>ých</w:t>
      </w:r>
      <w:r w:rsidR="00DD6A28" w:rsidRPr="00DD6A28">
        <w:rPr>
          <w:lang w:val="cs-CZ"/>
        </w:rPr>
        <w:t xml:space="preserve"> řízení za účelem udělení práv k využívání rádiových kmitočtů</w:t>
      </w:r>
      <w:r w:rsidR="00DD6A28">
        <w:rPr>
          <w:lang w:val="cs-CZ"/>
        </w:rPr>
        <w:t>. Nastavení konkrétních p</w:t>
      </w:r>
      <w:r w:rsidR="00774EDA">
        <w:rPr>
          <w:lang w:val="cs-CZ"/>
        </w:rPr>
        <w:t>odmínek výběrového řízení dává Ú</w:t>
      </w:r>
      <w:r w:rsidR="00DD6A28">
        <w:rPr>
          <w:lang w:val="cs-CZ"/>
        </w:rPr>
        <w:t xml:space="preserve">řadu mimo jiné možnost reagovat na aktuální situaci na trzích, kterých </w:t>
      </w:r>
      <w:r w:rsidR="004B61EF">
        <w:rPr>
          <w:lang w:val="cs-CZ"/>
        </w:rPr>
        <w:t>se předmětné výběrové řízení může dotknout.</w:t>
      </w:r>
      <w:r w:rsidR="00DD6A28">
        <w:rPr>
          <w:lang w:val="cs-CZ"/>
        </w:rPr>
        <w:t xml:space="preserve"> </w:t>
      </w:r>
    </w:p>
    <w:p w14:paraId="6A9764F1" w14:textId="77777777" w:rsidR="001D476D" w:rsidRPr="002F6D79" w:rsidRDefault="001D476D" w:rsidP="00C95099">
      <w:pPr>
        <w:pStyle w:val="Nadpis2"/>
        <w:numPr>
          <w:ilvl w:val="2"/>
          <w:numId w:val="3"/>
        </w:numPr>
        <w:rPr>
          <w:b w:val="0"/>
          <w:i/>
        </w:rPr>
      </w:pPr>
      <w:bookmarkStart w:id="254" w:name="_Toc301423713"/>
      <w:r w:rsidRPr="002F6D79">
        <w:rPr>
          <w:b w:val="0"/>
          <w:i/>
        </w:rPr>
        <w:t>Uplatnění</w:t>
      </w:r>
      <w:bookmarkEnd w:id="254"/>
    </w:p>
    <w:p w14:paraId="4D0854AE" w14:textId="77777777" w:rsidR="00774EDA" w:rsidRDefault="00774EDA" w:rsidP="005916AF">
      <w:pPr>
        <w:ind w:firstLine="567"/>
        <w:rPr>
          <w:lang w:val="cs-CZ"/>
        </w:rPr>
      </w:pPr>
      <w:r>
        <w:rPr>
          <w:lang w:val="cs-CZ"/>
        </w:rPr>
        <w:t>Sdílení</w:t>
      </w:r>
      <w:r w:rsidR="00E444CE" w:rsidRPr="00475828">
        <w:rPr>
          <w:lang w:val="cs-CZ"/>
        </w:rPr>
        <w:t xml:space="preserve"> 2G, 3G a 4G</w:t>
      </w:r>
      <w:r>
        <w:rPr>
          <w:lang w:val="cs-CZ"/>
        </w:rPr>
        <w:t xml:space="preserve"> mobilních sítí by mohlo být relevantní zejména při nastavování podmínek výběrových řízení při budoucím přidělování rádiových kmitočtů vhodných pro</w:t>
      </w:r>
      <w:r w:rsidR="00DC236A">
        <w:rPr>
          <w:lang w:val="cs-CZ"/>
        </w:rPr>
        <w:t> </w:t>
      </w:r>
      <w:r>
        <w:rPr>
          <w:lang w:val="cs-CZ"/>
        </w:rPr>
        <w:t xml:space="preserve">poskytování mobilních sítí. </w:t>
      </w:r>
    </w:p>
    <w:p w14:paraId="53A57CF6" w14:textId="77777777" w:rsidR="008D2B5D" w:rsidRDefault="00774EDA" w:rsidP="005916AF">
      <w:pPr>
        <w:ind w:firstLine="567"/>
        <w:rPr>
          <w:lang w:val="cs-CZ"/>
        </w:rPr>
      </w:pPr>
      <w:r>
        <w:rPr>
          <w:lang w:val="cs-CZ"/>
        </w:rPr>
        <w:t>V rámci dostupných mechanismů lze uvažovat o tom, že by Úřad v mezích požadavku transparentnosti</w:t>
      </w:r>
      <w:r w:rsidR="004B61EF">
        <w:rPr>
          <w:lang w:val="cs-CZ"/>
        </w:rPr>
        <w:t>, otevřenosti a n</w:t>
      </w:r>
      <w:r w:rsidR="00E444CE">
        <w:rPr>
          <w:lang w:val="cs-CZ"/>
        </w:rPr>
        <w:t>e</w:t>
      </w:r>
      <w:r w:rsidR="004B61EF">
        <w:rPr>
          <w:lang w:val="cs-CZ"/>
        </w:rPr>
        <w:t xml:space="preserve">diskriminace </w:t>
      </w:r>
      <w:r w:rsidR="008D2B5D">
        <w:rPr>
          <w:lang w:val="cs-CZ"/>
        </w:rPr>
        <w:t xml:space="preserve">mohl využít </w:t>
      </w:r>
      <w:r>
        <w:rPr>
          <w:lang w:val="cs-CZ"/>
        </w:rPr>
        <w:t>například</w:t>
      </w:r>
      <w:r w:rsidR="008D2B5D">
        <w:rPr>
          <w:lang w:val="cs-CZ"/>
        </w:rPr>
        <w:t xml:space="preserve"> následující nástroje při</w:t>
      </w:r>
      <w:r w:rsidR="00DC236A">
        <w:rPr>
          <w:lang w:val="cs-CZ"/>
        </w:rPr>
        <w:t> </w:t>
      </w:r>
      <w:r w:rsidR="008D2B5D">
        <w:rPr>
          <w:lang w:val="cs-CZ"/>
        </w:rPr>
        <w:t xml:space="preserve">stanovování podmínek </w:t>
      </w:r>
      <w:r>
        <w:rPr>
          <w:lang w:val="cs-CZ"/>
        </w:rPr>
        <w:t xml:space="preserve">budoucích </w:t>
      </w:r>
      <w:r w:rsidR="008D2B5D">
        <w:rPr>
          <w:lang w:val="cs-CZ"/>
        </w:rPr>
        <w:t>výběrových řízení:</w:t>
      </w:r>
    </w:p>
    <w:p w14:paraId="0EB7DCD6" w14:textId="77777777" w:rsidR="008D2B5D" w:rsidRPr="002F6D79" w:rsidRDefault="008D2B5D" w:rsidP="005916AF">
      <w:pPr>
        <w:numPr>
          <w:ilvl w:val="0"/>
          <w:numId w:val="29"/>
        </w:numPr>
        <w:rPr>
          <w:i/>
          <w:lang w:val="cs-CZ"/>
        </w:rPr>
      </w:pPr>
      <w:r w:rsidRPr="002F6D79">
        <w:rPr>
          <w:i/>
          <w:lang w:val="cs-CZ"/>
        </w:rPr>
        <w:t>Nastavení spektrálních limitů</w:t>
      </w:r>
    </w:p>
    <w:p w14:paraId="3E9FADB2" w14:textId="77777777" w:rsidR="008D2B5D" w:rsidRDefault="008D2B5D" w:rsidP="005916AF">
      <w:pPr>
        <w:pStyle w:val="Odstavecseseznamem"/>
        <w:ind w:left="0" w:firstLine="567"/>
        <w:rPr>
          <w:lang w:val="cs-CZ"/>
        </w:rPr>
      </w:pPr>
      <w:r>
        <w:rPr>
          <w:lang w:val="cs-CZ"/>
        </w:rPr>
        <w:t xml:space="preserve">Úřad by mohl zvážit nastavení </w:t>
      </w:r>
      <w:r w:rsidR="00EB72A0">
        <w:rPr>
          <w:lang w:val="cs-CZ"/>
        </w:rPr>
        <w:t xml:space="preserve">spektrálních limitů tak, že by se rozsah frekvencí </w:t>
      </w:r>
      <w:r w:rsidR="00F10325">
        <w:rPr>
          <w:lang w:val="cs-CZ"/>
        </w:rPr>
        <w:t xml:space="preserve">držených sdílejícími operátory zcela nebo částečně </w:t>
      </w:r>
      <w:r w:rsidR="00EB72A0">
        <w:rPr>
          <w:lang w:val="cs-CZ"/>
        </w:rPr>
        <w:t xml:space="preserve">započítával na spektrální limit každého uchazeče, který se takového sdílení sítí účastní. Toto opatření </w:t>
      </w:r>
      <w:r w:rsidR="00F10325">
        <w:rPr>
          <w:lang w:val="cs-CZ"/>
        </w:rPr>
        <w:t>by mohlo přicházet</w:t>
      </w:r>
      <w:r w:rsidR="00EB72A0">
        <w:rPr>
          <w:lang w:val="cs-CZ"/>
        </w:rPr>
        <w:t xml:space="preserve"> v úvahu zejména v situacích, kdy by docházelo ke sdílení frekvencí, je nicméně obtížně představitelné a</w:t>
      </w:r>
      <w:r w:rsidR="00247FC2">
        <w:rPr>
          <w:lang w:val="cs-CZ"/>
        </w:rPr>
        <w:t> </w:t>
      </w:r>
      <w:r w:rsidR="00EB72A0">
        <w:rPr>
          <w:lang w:val="cs-CZ"/>
        </w:rPr>
        <w:t>obhajitelné v případě méně intenzivních forem sdílení sítí.</w:t>
      </w:r>
    </w:p>
    <w:p w14:paraId="0ED76919" w14:textId="77777777" w:rsidR="00EB72A0" w:rsidRDefault="00EB72A0" w:rsidP="005916AF">
      <w:pPr>
        <w:pStyle w:val="Odstavecseseznamem"/>
        <w:ind w:left="360"/>
        <w:rPr>
          <w:lang w:val="cs-CZ"/>
        </w:rPr>
      </w:pPr>
    </w:p>
    <w:p w14:paraId="78E798FA" w14:textId="77777777" w:rsidR="00EB72A0" w:rsidRPr="002F6D79" w:rsidRDefault="00EB72A0" w:rsidP="005916AF">
      <w:pPr>
        <w:numPr>
          <w:ilvl w:val="0"/>
          <w:numId w:val="29"/>
        </w:numPr>
        <w:rPr>
          <w:i/>
          <w:lang w:val="cs-CZ"/>
        </w:rPr>
      </w:pPr>
      <w:r w:rsidRPr="002F6D79">
        <w:rPr>
          <w:i/>
          <w:lang w:val="cs-CZ"/>
        </w:rPr>
        <w:t>Vyhrazení části spektra pouze pro některé subjekty</w:t>
      </w:r>
    </w:p>
    <w:p w14:paraId="67E4B829" w14:textId="77777777" w:rsidR="00726573" w:rsidRPr="00AF0581" w:rsidRDefault="00EB72A0" w:rsidP="005916AF">
      <w:pPr>
        <w:pStyle w:val="Odstavecseseznamem"/>
        <w:ind w:left="0" w:firstLine="567"/>
        <w:rPr>
          <w:lang w:val="cs-CZ"/>
        </w:rPr>
      </w:pPr>
      <w:r>
        <w:rPr>
          <w:lang w:val="cs-CZ"/>
        </w:rPr>
        <w:t xml:space="preserve">Úřad má možnost </w:t>
      </w:r>
      <w:r w:rsidR="00726573">
        <w:rPr>
          <w:lang w:val="cs-CZ"/>
        </w:rPr>
        <w:t>vyhradit ve výběrovém řízení část spektra uchazečům, kteří se neúčastní sdílení sítí. Vyhrazování určitých bloků jen pro uchazeče splňující specifická kritéria se však i</w:t>
      </w:r>
      <w:r w:rsidR="00247FC2">
        <w:rPr>
          <w:lang w:val="cs-CZ"/>
        </w:rPr>
        <w:t> </w:t>
      </w:r>
      <w:r w:rsidR="00726573">
        <w:rPr>
          <w:lang w:val="cs-CZ"/>
        </w:rPr>
        <w:t xml:space="preserve">ve světle dřívějších zkušeností Úřadu jeví jako značně problematické a těžko obhajitelné opatření. </w:t>
      </w:r>
    </w:p>
    <w:p w14:paraId="4C79FB26" w14:textId="77777777" w:rsidR="00EB72A0" w:rsidRPr="002F6D79" w:rsidRDefault="00EB72A0" w:rsidP="005916AF">
      <w:pPr>
        <w:numPr>
          <w:ilvl w:val="0"/>
          <w:numId w:val="29"/>
        </w:numPr>
        <w:rPr>
          <w:i/>
          <w:lang w:val="cs-CZ"/>
        </w:rPr>
      </w:pPr>
      <w:r w:rsidRPr="002F6D79">
        <w:rPr>
          <w:i/>
          <w:lang w:val="cs-CZ"/>
        </w:rPr>
        <w:t>Cenové zvýhodnění</w:t>
      </w:r>
    </w:p>
    <w:p w14:paraId="7EA4BD1D" w14:textId="77777777" w:rsidR="00726573" w:rsidRDefault="00726573" w:rsidP="005916AF">
      <w:pPr>
        <w:pStyle w:val="Odstavecseseznamem"/>
        <w:ind w:left="0" w:firstLine="567"/>
        <w:rPr>
          <w:lang w:val="cs-CZ"/>
        </w:rPr>
      </w:pPr>
      <w:r>
        <w:rPr>
          <w:lang w:val="cs-CZ"/>
        </w:rPr>
        <w:t xml:space="preserve">Negativní dopady sdílení sítí lze kompenzovat také formou cenového zvýhodnění přidělovaných kmitočtových bloků pro operátory, kteří </w:t>
      </w:r>
      <w:r w:rsidR="00730623">
        <w:rPr>
          <w:lang w:val="cs-CZ"/>
        </w:rPr>
        <w:t>se sdílení sítí neúčastní. Cenové zvýhodnění by zřejmě odráželo rozsah úspory, které dosahují sdílející operátoři. Stejně jako u</w:t>
      </w:r>
      <w:r w:rsidR="00247FC2">
        <w:rPr>
          <w:lang w:val="cs-CZ"/>
        </w:rPr>
        <w:t> </w:t>
      </w:r>
      <w:r w:rsidR="00730623">
        <w:rPr>
          <w:lang w:val="cs-CZ"/>
        </w:rPr>
        <w:t>vyhrazení části spektra se lze nicméně domnívat, že jde o poměrně intenzivní opatření, které bude patrně jen obtížně obhajitelné.</w:t>
      </w:r>
    </w:p>
    <w:p w14:paraId="10F7F959" w14:textId="77777777" w:rsidR="00730623" w:rsidRDefault="00730623" w:rsidP="005916AF">
      <w:pPr>
        <w:pStyle w:val="Odstavecseseznamem"/>
        <w:ind w:left="360"/>
        <w:rPr>
          <w:lang w:val="cs-CZ"/>
        </w:rPr>
      </w:pPr>
    </w:p>
    <w:p w14:paraId="14258FE5" w14:textId="77777777" w:rsidR="00EB72A0" w:rsidRPr="002F6D79" w:rsidRDefault="00EB72A0" w:rsidP="005916AF">
      <w:pPr>
        <w:numPr>
          <w:ilvl w:val="0"/>
          <w:numId w:val="29"/>
        </w:numPr>
        <w:rPr>
          <w:i/>
          <w:lang w:val="cs-CZ"/>
        </w:rPr>
      </w:pPr>
      <w:r w:rsidRPr="002F6D79">
        <w:rPr>
          <w:i/>
          <w:lang w:val="cs-CZ"/>
        </w:rPr>
        <w:t>Stanovení rozdílných rozvojových kritérií</w:t>
      </w:r>
    </w:p>
    <w:p w14:paraId="000DFF64" w14:textId="77777777" w:rsidR="00774EDA" w:rsidRDefault="00730623" w:rsidP="005916AF">
      <w:pPr>
        <w:pStyle w:val="Odstavecseseznamem"/>
        <w:ind w:left="0" w:firstLine="567"/>
        <w:rPr>
          <w:lang w:val="cs-CZ"/>
        </w:rPr>
      </w:pPr>
      <w:r>
        <w:rPr>
          <w:lang w:val="cs-CZ"/>
        </w:rPr>
        <w:t>Sdílení sítí často provází obavy z pomalejšího technického rozvoje, menšího důrazu na</w:t>
      </w:r>
      <w:r w:rsidR="00DC236A">
        <w:rPr>
          <w:lang w:val="cs-CZ"/>
        </w:rPr>
        <w:t> </w:t>
      </w:r>
      <w:r>
        <w:rPr>
          <w:lang w:val="cs-CZ"/>
        </w:rPr>
        <w:t xml:space="preserve">inovace a pomalejšího budování individuálních sítí sdílejících operátorů, což by se mohlo projevit zejména v případě, že by dohoda o sdílení byla ukončena a každý ze sdílejících operátorů by musel začít poskytovat služby svým zákazníkům samostatně. Lze tedy předpokládat, že by Úřad měl být schopen zdůvodnit nastavení přísnějších rozvojových kritérií v rámci výběrového </w:t>
      </w:r>
      <w:r w:rsidR="000B4B17">
        <w:rPr>
          <w:lang w:val="cs-CZ"/>
        </w:rPr>
        <w:t xml:space="preserve">řízení </w:t>
      </w:r>
      <w:r>
        <w:rPr>
          <w:lang w:val="cs-CZ"/>
        </w:rPr>
        <w:t>pro operátory, kteří se účastní sdílení sítí. Konkrétní návrh opatření by pak musel být pečlivě zvážen a odůvodněn tak, aby byly vyloučeny případné námitky týkající se retroaktivní působnosti takového pravidla.</w:t>
      </w:r>
      <w:r w:rsidR="00774EDA" w:rsidRPr="00774EDA">
        <w:rPr>
          <w:lang w:val="cs-CZ"/>
        </w:rPr>
        <w:t xml:space="preserve"> </w:t>
      </w:r>
    </w:p>
    <w:p w14:paraId="340B3F79" w14:textId="77777777" w:rsidR="00EB72A0" w:rsidRPr="00774EDA" w:rsidRDefault="00774EDA" w:rsidP="005916AF">
      <w:pPr>
        <w:ind w:firstLine="567"/>
        <w:rPr>
          <w:lang w:val="cs-CZ"/>
        </w:rPr>
      </w:pPr>
      <w:r w:rsidRPr="00774EDA">
        <w:rPr>
          <w:lang w:val="cs-CZ"/>
        </w:rPr>
        <w:t>I</w:t>
      </w:r>
      <w:r w:rsidR="00AC6783">
        <w:rPr>
          <w:lang w:val="cs-CZ"/>
        </w:rPr>
        <w:t> </w:t>
      </w:r>
      <w:r w:rsidRPr="00774EDA">
        <w:rPr>
          <w:lang w:val="cs-CZ"/>
        </w:rPr>
        <w:t>zde je však nutné přistupovat k přijetí podobných opatření se značnou dávkou opatrnosti – předně musí být nastavení různých podmínek pro různé soutěžitele vždy objektivně zdůvodnitelné a dále je nutné, aby Úřad vždy pečlivě vyhodnotil míru rizika pro</w:t>
      </w:r>
      <w:r w:rsidR="00DC236A" w:rsidRPr="00A163E1">
        <w:rPr>
          <w:lang w:val="cs-CZ"/>
        </w:rPr>
        <w:t> </w:t>
      </w:r>
      <w:proofErr w:type="spellStart"/>
      <w:r w:rsidRPr="00774EDA">
        <w:rPr>
          <w:lang w:val="cs-CZ"/>
        </w:rPr>
        <w:t>soutěžněprávní</w:t>
      </w:r>
      <w:proofErr w:type="spellEnd"/>
      <w:r w:rsidRPr="00774EDA">
        <w:rPr>
          <w:lang w:val="cs-CZ"/>
        </w:rPr>
        <w:t xml:space="preserve"> prostředí, která by mohla plynout z poskytnutí – i když odůvodněné – výhody některým soutěžitelům</w:t>
      </w:r>
      <w:r w:rsidR="00F95E52">
        <w:rPr>
          <w:lang w:val="cs-CZ"/>
        </w:rPr>
        <w:t>.</w:t>
      </w:r>
    </w:p>
    <w:p w14:paraId="2E8EDBE0" w14:textId="77777777" w:rsidR="008E06B9" w:rsidRPr="002F6D79" w:rsidRDefault="008E06B9" w:rsidP="00C95099">
      <w:pPr>
        <w:pStyle w:val="Nadpis2"/>
        <w:numPr>
          <w:ilvl w:val="1"/>
          <w:numId w:val="3"/>
        </w:numPr>
        <w:ind w:left="357" w:hanging="357"/>
      </w:pPr>
      <w:bookmarkStart w:id="255" w:name="_Toc301423714"/>
      <w:r w:rsidRPr="002F6D79">
        <w:t>Efektivní využívání spektra</w:t>
      </w:r>
      <w:bookmarkEnd w:id="255"/>
    </w:p>
    <w:p w14:paraId="3995FC76" w14:textId="77777777" w:rsidR="007B4163" w:rsidRPr="002F6D79" w:rsidRDefault="007B4163" w:rsidP="00C95099">
      <w:pPr>
        <w:pStyle w:val="Nadpis2"/>
        <w:numPr>
          <w:ilvl w:val="2"/>
          <w:numId w:val="3"/>
        </w:numPr>
        <w:rPr>
          <w:b w:val="0"/>
          <w:i/>
        </w:rPr>
      </w:pPr>
      <w:bookmarkStart w:id="256" w:name="_Toc301423715"/>
      <w:r w:rsidRPr="002F6D79">
        <w:rPr>
          <w:b w:val="0"/>
          <w:i/>
        </w:rPr>
        <w:t>Kompetence dle Zákona</w:t>
      </w:r>
      <w:bookmarkEnd w:id="256"/>
    </w:p>
    <w:p w14:paraId="4A031DC6" w14:textId="77777777" w:rsidR="007B4163" w:rsidRPr="007B4163" w:rsidRDefault="007B4163" w:rsidP="005916AF">
      <w:pPr>
        <w:ind w:firstLine="567"/>
        <w:rPr>
          <w:lang w:val="cs-CZ"/>
        </w:rPr>
      </w:pPr>
      <w:r w:rsidRPr="007B4163">
        <w:rPr>
          <w:lang w:val="cs-CZ"/>
        </w:rPr>
        <w:t xml:space="preserve">V souladu s § 5 odst. 1 písm. c) Zákona </w:t>
      </w:r>
      <w:r>
        <w:rPr>
          <w:lang w:val="cs-CZ"/>
        </w:rPr>
        <w:t>je Úřad (společně s Ministerstvem průmyslu a</w:t>
      </w:r>
      <w:r w:rsidR="00247FC2">
        <w:rPr>
          <w:lang w:val="cs-CZ"/>
        </w:rPr>
        <w:t> </w:t>
      </w:r>
      <w:r>
        <w:rPr>
          <w:lang w:val="cs-CZ"/>
        </w:rPr>
        <w:t xml:space="preserve">obchodu) pověřen podporovat </w:t>
      </w:r>
      <w:r w:rsidRPr="007B4163">
        <w:rPr>
          <w:lang w:val="cs-CZ"/>
        </w:rPr>
        <w:t>hospodářskou soutěž při zajišťování sítí a poskytování služeb elektronických komunikací a přiřazených prostředků podnikateli</w:t>
      </w:r>
      <w:r>
        <w:rPr>
          <w:lang w:val="cs-CZ"/>
        </w:rPr>
        <w:t xml:space="preserve"> mimo jiné tím, že zajišťuje</w:t>
      </w:r>
      <w:r w:rsidRPr="007B4163">
        <w:rPr>
          <w:lang w:val="cs-CZ"/>
        </w:rPr>
        <w:t xml:space="preserve"> účinnou správu a účelné využívání rádiových kmitočtů a čísel</w:t>
      </w:r>
      <w:r>
        <w:rPr>
          <w:lang w:val="cs-CZ"/>
        </w:rPr>
        <w:t>. Úřad je tedy povinen mimo jiné kontrolovat, zda efektivní využití přídělů rádiových kmitočtů není negativně ovlivněno sdílením sítí</w:t>
      </w:r>
      <w:r w:rsidR="00441B76">
        <w:rPr>
          <w:lang w:val="cs-CZ"/>
        </w:rPr>
        <w:t>.</w:t>
      </w:r>
    </w:p>
    <w:p w14:paraId="749A05C6" w14:textId="77777777" w:rsidR="007B4163" w:rsidRPr="002F6D79" w:rsidRDefault="007B4163" w:rsidP="005916AF">
      <w:pPr>
        <w:pStyle w:val="Nadpis2"/>
        <w:keepNext w:val="0"/>
        <w:numPr>
          <w:ilvl w:val="2"/>
          <w:numId w:val="3"/>
        </w:numPr>
        <w:rPr>
          <w:b w:val="0"/>
          <w:i/>
        </w:rPr>
      </w:pPr>
      <w:bookmarkStart w:id="257" w:name="_Toc301423716"/>
      <w:r w:rsidRPr="002F6D79">
        <w:rPr>
          <w:b w:val="0"/>
          <w:i/>
        </w:rPr>
        <w:t>Uplatnění</w:t>
      </w:r>
      <w:bookmarkEnd w:id="257"/>
    </w:p>
    <w:p w14:paraId="53DC7CC2" w14:textId="13AE3E8B" w:rsidR="008E06B9" w:rsidRPr="00475828" w:rsidRDefault="008E06B9" w:rsidP="005916AF">
      <w:pPr>
        <w:ind w:firstLine="567"/>
        <w:rPr>
          <w:lang w:val="cs-CZ"/>
        </w:rPr>
      </w:pPr>
      <w:r w:rsidRPr="00475828">
        <w:rPr>
          <w:lang w:val="cs-CZ"/>
        </w:rPr>
        <w:t>Teoreticky je možné, že sdílení sítí negativně ovlivní efektivní využívání spektra přiděleného sdílejícím operátorům. Taková situace by vznikla zejména</w:t>
      </w:r>
      <w:r w:rsidR="00933698" w:rsidRPr="00475828">
        <w:rPr>
          <w:lang w:val="cs-CZ"/>
        </w:rPr>
        <w:t>, pokud</w:t>
      </w:r>
      <w:r w:rsidRPr="00475828">
        <w:rPr>
          <w:lang w:val="cs-CZ"/>
        </w:rPr>
        <w:t xml:space="preserve"> by docházelo ke</w:t>
      </w:r>
      <w:r w:rsidR="00DC236A">
        <w:rPr>
          <w:lang w:val="cs-CZ"/>
        </w:rPr>
        <w:t> </w:t>
      </w:r>
      <w:r w:rsidRPr="00475828">
        <w:rPr>
          <w:lang w:val="cs-CZ"/>
        </w:rPr>
        <w:t>sdílení spektra, a příděl některého z operátorů by tak zůstal nevyužit v důsledku používání frekvencí jiného operátora. V krajním případě by pak Úřad by</w:t>
      </w:r>
      <w:r w:rsidR="0082201B">
        <w:rPr>
          <w:lang w:val="cs-CZ"/>
        </w:rPr>
        <w:t>l oprávněn odejmout oprávnění k </w:t>
      </w:r>
      <w:r w:rsidRPr="00475828">
        <w:rPr>
          <w:lang w:val="cs-CZ"/>
        </w:rPr>
        <w:t xml:space="preserve">využívání rádiových kmitočtů subjektu, který spektrum nevyužívá. Při současné intenzitě sdílení sítí mezi TMCZ a O2, kdy nedochází k tzv. </w:t>
      </w:r>
      <w:proofErr w:type="spellStart"/>
      <w:r w:rsidRPr="00475828">
        <w:rPr>
          <w:lang w:val="cs-CZ"/>
        </w:rPr>
        <w:t>spectrum</w:t>
      </w:r>
      <w:proofErr w:type="spellEnd"/>
      <w:r w:rsidRPr="00475828">
        <w:rPr>
          <w:lang w:val="cs-CZ"/>
        </w:rPr>
        <w:t xml:space="preserve"> </w:t>
      </w:r>
      <w:proofErr w:type="spellStart"/>
      <w:r w:rsidRPr="00475828">
        <w:rPr>
          <w:lang w:val="cs-CZ"/>
        </w:rPr>
        <w:t>poolingu</w:t>
      </w:r>
      <w:proofErr w:type="spellEnd"/>
      <w:r w:rsidRPr="00475828">
        <w:rPr>
          <w:lang w:val="cs-CZ"/>
        </w:rPr>
        <w:t>, se riziko negativních dopadů na efektivní využívání spektra jeví jako malé.</w:t>
      </w:r>
      <w:r w:rsidR="00441B76">
        <w:rPr>
          <w:lang w:val="cs-CZ"/>
        </w:rPr>
        <w:t xml:space="preserve"> Úřad by však tuto možnost reakce na</w:t>
      </w:r>
      <w:r w:rsidR="00DC236A">
        <w:rPr>
          <w:lang w:val="cs-CZ"/>
        </w:rPr>
        <w:t> </w:t>
      </w:r>
      <w:r w:rsidR="00441B76">
        <w:rPr>
          <w:lang w:val="cs-CZ"/>
        </w:rPr>
        <w:t xml:space="preserve">sdílení sítí měl zvážit v budoucnu, pokud by mezi operátory docházelo k intenzivnějším formám spolupráce - opatření spočívající v odnětí </w:t>
      </w:r>
      <w:r w:rsidR="00441B76" w:rsidRPr="00441B76">
        <w:rPr>
          <w:lang w:val="cs-CZ"/>
        </w:rPr>
        <w:t>oprávnění k využívání rádiových kmitočtů</w:t>
      </w:r>
      <w:r w:rsidR="00441B76">
        <w:rPr>
          <w:lang w:val="cs-CZ"/>
        </w:rPr>
        <w:t xml:space="preserve"> lze považovat za smysluplné zejména právě v případě uváděného sdílení frekvencí, které se vyznačuje vyšším rizikem negativních dopadů na efektivní</w:t>
      </w:r>
      <w:r w:rsidR="0082201B">
        <w:rPr>
          <w:lang w:val="cs-CZ"/>
        </w:rPr>
        <w:t xml:space="preserve"> využívání rádiových kmitočtů a </w:t>
      </w:r>
      <w:r w:rsidR="00441B76">
        <w:rPr>
          <w:lang w:val="cs-CZ"/>
        </w:rPr>
        <w:t>vyšším rizikem negativních dopadů na hospodářskou soutěž.</w:t>
      </w:r>
    </w:p>
    <w:p w14:paraId="4CAAF3D2" w14:textId="77777777" w:rsidR="008E06B9" w:rsidRPr="002F6D79" w:rsidRDefault="008E06B9" w:rsidP="005916AF">
      <w:pPr>
        <w:pStyle w:val="Nadpis2"/>
        <w:keepNext w:val="0"/>
        <w:numPr>
          <w:ilvl w:val="1"/>
          <w:numId w:val="3"/>
        </w:numPr>
      </w:pPr>
      <w:bookmarkStart w:id="258" w:name="_Toc301423717"/>
      <w:r w:rsidRPr="002F6D79">
        <w:t>Kvalita služby, ochrana koncového uživatele a spotřebitele</w:t>
      </w:r>
      <w:bookmarkEnd w:id="258"/>
    </w:p>
    <w:p w14:paraId="555894DB" w14:textId="77777777" w:rsidR="00B56296" w:rsidRPr="00475828" w:rsidRDefault="007B4163" w:rsidP="005916AF">
      <w:pPr>
        <w:ind w:firstLine="567"/>
        <w:rPr>
          <w:rFonts w:cs="Arial"/>
          <w:i/>
          <w:lang w:val="cs-CZ"/>
        </w:rPr>
      </w:pPr>
      <w:r>
        <w:rPr>
          <w:rFonts w:cs="Arial"/>
          <w:lang w:val="cs-CZ"/>
        </w:rPr>
        <w:t xml:space="preserve">Pro úplnost je ještě možné uvést, že </w:t>
      </w:r>
      <w:r w:rsidR="008E06B9" w:rsidRPr="00475828">
        <w:rPr>
          <w:rFonts w:cs="Arial"/>
          <w:lang w:val="cs-CZ"/>
        </w:rPr>
        <w:t>Úřad může také kontrolovat, že sdílením sítí nedochází k porušování práv koncových uživatelů či spotřebitelů dle Zákona. Úřad si tak mimo jiné dle § 71 Zákona ponechává kontrolu nad kvalitou služby. Pokud by tedy došlo ke zhoršení kvality služby nebo jinému porušování smluv s koncovými uživateli v důsledku sdílení sítí, může Úřad uložit dotčenému operátorovi nápravná opatření prostřednictvím uložení požadavků na zajištění minimální kvality služeb.</w:t>
      </w:r>
      <w:r>
        <w:rPr>
          <w:rFonts w:cs="Arial"/>
          <w:lang w:val="cs-CZ"/>
        </w:rPr>
        <w:t xml:space="preserve"> Popsané kompetence ve vztahu ke kvalitě služby a ochraně koncového uživatele a spotřebitele v kontextu výše uvedených možností reakce na dopady sdílení sítí zaujímají roli spíše nástroje doplňkového, který není způsobilý působit jako opatření k nápravě případných narušení hospodářské soutěže. </w:t>
      </w:r>
    </w:p>
    <w:p w14:paraId="42538008" w14:textId="77777777" w:rsidR="00482E68" w:rsidRPr="002F6D79" w:rsidRDefault="00B56296" w:rsidP="005916AF">
      <w:pPr>
        <w:pStyle w:val="Nadpis1"/>
        <w:keepNext w:val="0"/>
        <w:numPr>
          <w:ilvl w:val="0"/>
          <w:numId w:val="3"/>
        </w:numPr>
        <w:spacing w:before="360"/>
        <w:rPr>
          <w:lang w:val="cs-CZ"/>
        </w:rPr>
      </w:pPr>
      <w:bookmarkStart w:id="259" w:name="_Toc301423718"/>
      <w:r w:rsidRPr="002F6D79">
        <w:rPr>
          <w:lang w:val="cs-CZ"/>
        </w:rPr>
        <w:t xml:space="preserve">Kompetence jiných orgánů </w:t>
      </w:r>
      <w:r w:rsidR="002F6D79">
        <w:rPr>
          <w:lang w:val="cs-CZ"/>
        </w:rPr>
        <w:t>ve vztahu ke sdílení sítí</w:t>
      </w:r>
      <w:bookmarkEnd w:id="259"/>
    </w:p>
    <w:p w14:paraId="18639105" w14:textId="77777777" w:rsidR="00B56296" w:rsidRPr="002F6D79" w:rsidRDefault="00B56296" w:rsidP="005916AF">
      <w:pPr>
        <w:pStyle w:val="Nadpis2"/>
        <w:keepNext w:val="0"/>
        <w:numPr>
          <w:ilvl w:val="1"/>
          <w:numId w:val="3"/>
        </w:numPr>
      </w:pPr>
      <w:bookmarkStart w:id="260" w:name="_Toc301423719"/>
      <w:r w:rsidRPr="002F6D79">
        <w:t>Ú</w:t>
      </w:r>
      <w:r w:rsidR="008E06B9" w:rsidRPr="002F6D79">
        <w:t>řad pro ochranu hospodářské soutěže</w:t>
      </w:r>
      <w:bookmarkEnd w:id="260"/>
    </w:p>
    <w:p w14:paraId="3EBF25B0" w14:textId="77777777" w:rsidR="008E06B9" w:rsidRPr="00475828" w:rsidRDefault="008E06B9" w:rsidP="005916AF">
      <w:pPr>
        <w:ind w:firstLine="567"/>
        <w:rPr>
          <w:lang w:val="cs-CZ"/>
        </w:rPr>
      </w:pPr>
      <w:r w:rsidRPr="00475828">
        <w:rPr>
          <w:lang w:val="cs-CZ"/>
        </w:rPr>
        <w:t xml:space="preserve">Úřad pro ochranu hospodářské soutěže působí ve vztahu ke sdílení sítí jako </w:t>
      </w:r>
      <w:r w:rsidRPr="00DC236A">
        <w:rPr>
          <w:i/>
          <w:lang w:val="cs-CZ"/>
        </w:rPr>
        <w:t>ex post</w:t>
      </w:r>
      <w:r w:rsidRPr="00475828">
        <w:rPr>
          <w:lang w:val="cs-CZ"/>
        </w:rPr>
        <w:t xml:space="preserve"> regulátor. Do jeho působnosti spadá možnost zasáhnout proti sdílení sítí zejména z titulu podezření na existenci nedovolené horizontální dohody – pokud by ÚOHS shledal, že smlouvy o</w:t>
      </w:r>
      <w:r w:rsidR="00AC6783">
        <w:rPr>
          <w:lang w:val="cs-CZ"/>
        </w:rPr>
        <w:t> </w:t>
      </w:r>
      <w:r w:rsidRPr="00475828">
        <w:rPr>
          <w:lang w:val="cs-CZ"/>
        </w:rPr>
        <w:t>sdílení sítí naplňují znaky zakázané dohody, může rozhodnutím plnění dohody do budoucna zakázat. V pravomoci ÚOHS je ovšem také zastavit řízení v případě, že účastníci řízení Úřadu společně navrhli závazky ve prospěch obnovení účinné hospodářské soutěže a tato opatření splnila i</w:t>
      </w:r>
      <w:r w:rsidR="00247FC2">
        <w:rPr>
          <w:lang w:val="cs-CZ"/>
        </w:rPr>
        <w:t> </w:t>
      </w:r>
      <w:r w:rsidRPr="00475828">
        <w:rPr>
          <w:lang w:val="cs-CZ"/>
        </w:rPr>
        <w:t>další stanovené podmínky.</w:t>
      </w:r>
    </w:p>
    <w:p w14:paraId="4615A59B" w14:textId="77777777" w:rsidR="000516D6" w:rsidRPr="00475828" w:rsidRDefault="008E06B9" w:rsidP="005916AF">
      <w:pPr>
        <w:ind w:firstLine="567"/>
        <w:rPr>
          <w:lang w:val="cs-CZ"/>
        </w:rPr>
      </w:pPr>
      <w:r w:rsidRPr="00475828">
        <w:rPr>
          <w:lang w:val="cs-CZ"/>
        </w:rPr>
        <w:t xml:space="preserve">Ve vztahu k Úřadu by si působnost obou regulátorů neměla konkurovat – lze tedy předpokládat, že v duchu Memoranda o spolupráci by v případě popsaného rozhodování ÚOHS požádal o stanovisko Úřad, aby mohl vydat komplexní rozhodnutí, ve kterém bude zahrnutý i pohled </w:t>
      </w:r>
      <w:r w:rsidRPr="00DC236A">
        <w:rPr>
          <w:i/>
          <w:lang w:val="cs-CZ"/>
        </w:rPr>
        <w:t>ex ante</w:t>
      </w:r>
      <w:r w:rsidRPr="00475828">
        <w:rPr>
          <w:lang w:val="cs-CZ"/>
        </w:rPr>
        <w:t xml:space="preserve"> regulátora na problematiku sdílení sítí. K podobnému kroku došlo v obou případech, které jsou předmětem případových studií v kapitole 2, tedy při posuzování dohod o sdílení sítí ve Francii i ve Velké Británii.</w:t>
      </w:r>
      <w:r w:rsidR="000516D6" w:rsidRPr="00475828">
        <w:rPr>
          <w:lang w:val="cs-CZ"/>
        </w:rPr>
        <w:t xml:space="preserve"> </w:t>
      </w:r>
    </w:p>
    <w:p w14:paraId="477F0EE3" w14:textId="77777777" w:rsidR="00371627" w:rsidRPr="00475828" w:rsidRDefault="000516D6" w:rsidP="005916AF">
      <w:pPr>
        <w:ind w:firstLine="567"/>
        <w:rPr>
          <w:lang w:val="cs-CZ"/>
        </w:rPr>
      </w:pPr>
      <w:r w:rsidRPr="00475828">
        <w:rPr>
          <w:lang w:val="cs-CZ"/>
        </w:rPr>
        <w:t>Přibližně v polovině roku 2014 se v médiích objevily informace, že by se do</w:t>
      </w:r>
      <w:r w:rsidR="00DC236A">
        <w:rPr>
          <w:lang w:val="cs-CZ"/>
        </w:rPr>
        <w:t> </w:t>
      </w:r>
      <w:r w:rsidRPr="00475828">
        <w:rPr>
          <w:lang w:val="cs-CZ"/>
        </w:rPr>
        <w:t>dohodnutého sdílení sítí mohla zapojit i společnost Vodafone. Dle dostupných informací byl tento záměr konzultován s ÚOHS, stejně tak ÚOHS začal sdílení sítí mezi TMCZ a O2 prověřovat na podnět společnosti Vodafone. ÚOHS nicméně prověřování nikdy formálně neuzavřel, a to zejména z toho důvodu, že v prosinci roku 2014 došlo k atrakci šetření sdílení sítí v České republice Evropskou komisí, čímž ÚOHS v souladu s příslušnými ustanoveními nařízení č. 1/2003 ze dne 16. prosince 2002 o provádění pravidel hospodářské soutěže stanovených v</w:t>
      </w:r>
      <w:r w:rsidR="00247FC2">
        <w:rPr>
          <w:lang w:val="cs-CZ"/>
        </w:rPr>
        <w:t> </w:t>
      </w:r>
      <w:r w:rsidRPr="00475828">
        <w:rPr>
          <w:lang w:val="cs-CZ"/>
        </w:rPr>
        <w:t>článcích 81 a 82 Smlouvy ztratil příslušnost se případem ve smyslu článků 101 a</w:t>
      </w:r>
      <w:r w:rsidR="00AC6783">
        <w:rPr>
          <w:lang w:val="cs-CZ"/>
        </w:rPr>
        <w:t> </w:t>
      </w:r>
      <w:r w:rsidRPr="00475828">
        <w:rPr>
          <w:lang w:val="cs-CZ"/>
        </w:rPr>
        <w:t>102 SFEU zabývat</w:t>
      </w:r>
      <w:r w:rsidR="00AF0581">
        <w:rPr>
          <w:lang w:val="cs-CZ"/>
        </w:rPr>
        <w:t>.</w:t>
      </w:r>
    </w:p>
    <w:p w14:paraId="706B03A9" w14:textId="77777777" w:rsidR="00731398" w:rsidRPr="002F6D79" w:rsidRDefault="00731398" w:rsidP="00AF0581">
      <w:pPr>
        <w:pStyle w:val="Nadpis2"/>
        <w:keepLines/>
        <w:numPr>
          <w:ilvl w:val="1"/>
          <w:numId w:val="3"/>
        </w:numPr>
      </w:pPr>
      <w:bookmarkStart w:id="261" w:name="_Toc301423720"/>
      <w:r w:rsidRPr="002F6D79">
        <w:t>Komise</w:t>
      </w:r>
      <w:bookmarkEnd w:id="261"/>
      <w:r w:rsidRPr="002F6D79">
        <w:t xml:space="preserve"> </w:t>
      </w:r>
    </w:p>
    <w:p w14:paraId="54786B7F" w14:textId="77777777" w:rsidR="008E06B9" w:rsidRPr="00475828" w:rsidRDefault="008E06B9" w:rsidP="000767E4">
      <w:pPr>
        <w:keepNext/>
        <w:keepLines/>
        <w:ind w:firstLine="567"/>
        <w:rPr>
          <w:lang w:val="cs-CZ"/>
        </w:rPr>
      </w:pPr>
      <w:r w:rsidRPr="00475828">
        <w:rPr>
          <w:lang w:val="cs-CZ"/>
        </w:rPr>
        <w:t>Obecně lze shrnout, že Komise má ve vztahu k možným protisoutěžním dopadům doplňkovou působnost k působnosti Úřadu, když se vyjadřuje k připravovaným analýzám trhů a</w:t>
      </w:r>
      <w:r w:rsidR="00247FC2">
        <w:rPr>
          <w:lang w:val="cs-CZ"/>
        </w:rPr>
        <w:t> </w:t>
      </w:r>
      <w:r w:rsidRPr="00475828">
        <w:rPr>
          <w:lang w:val="cs-CZ"/>
        </w:rPr>
        <w:t xml:space="preserve">navrhovaným nápravným opatřením a </w:t>
      </w:r>
      <w:r w:rsidR="003A2E41" w:rsidRPr="00475828">
        <w:rPr>
          <w:lang w:val="cs-CZ"/>
        </w:rPr>
        <w:t>je oprávněna vydat závazné stanovisko</w:t>
      </w:r>
      <w:r w:rsidRPr="00475828">
        <w:rPr>
          <w:lang w:val="cs-CZ"/>
        </w:rPr>
        <w:t xml:space="preserve">, zejména se ale její působnost překrývá s působností ÚOHS. </w:t>
      </w:r>
      <w:r w:rsidR="003A2E41" w:rsidRPr="00475828">
        <w:rPr>
          <w:lang w:val="cs-CZ"/>
        </w:rPr>
        <w:t>Jak je popsáno výše ve vztahu k aktuálnímu případu sdílení sítí,</w:t>
      </w:r>
      <w:r w:rsidRPr="00475828">
        <w:rPr>
          <w:lang w:val="cs-CZ"/>
        </w:rPr>
        <w:t xml:space="preserve"> nemůže dojít k situaci, kdy by se totožnou </w:t>
      </w:r>
      <w:proofErr w:type="spellStart"/>
      <w:r w:rsidRPr="00475828">
        <w:rPr>
          <w:lang w:val="cs-CZ"/>
        </w:rPr>
        <w:t>soutěžněprávní</w:t>
      </w:r>
      <w:proofErr w:type="spellEnd"/>
      <w:r w:rsidRPr="00475828">
        <w:rPr>
          <w:lang w:val="cs-CZ"/>
        </w:rPr>
        <w:t xml:space="preserve"> otázkou zabýval národní soutěžní úřad a zároveň i Komise. </w:t>
      </w:r>
      <w:r w:rsidR="003A2E41" w:rsidRPr="00475828">
        <w:rPr>
          <w:lang w:val="cs-CZ"/>
        </w:rPr>
        <w:t>V</w:t>
      </w:r>
      <w:r w:rsidRPr="00475828">
        <w:rPr>
          <w:lang w:val="cs-CZ"/>
        </w:rPr>
        <w:t xml:space="preserve"> případě atrakce národního šetření ze strany Komise národní </w:t>
      </w:r>
      <w:r w:rsidR="003A2E41" w:rsidRPr="00475828">
        <w:rPr>
          <w:lang w:val="cs-CZ"/>
        </w:rPr>
        <w:t xml:space="preserve">totiž </w:t>
      </w:r>
      <w:r w:rsidRPr="00475828">
        <w:rPr>
          <w:lang w:val="cs-CZ"/>
        </w:rPr>
        <w:t>soutěžní úřad automaticky ztrácí příslušnost se případem dále zabývat. Rozhodnutí Komise je v takovém případě závazné a národní soutěžní úřad nemá právo jej jakkoli rozporovat.</w:t>
      </w:r>
    </w:p>
    <w:p w14:paraId="2AC0BFC7" w14:textId="77777777" w:rsidR="005E5FB1" w:rsidRPr="00475828" w:rsidRDefault="005E5FB1" w:rsidP="001D143B">
      <w:pPr>
        <w:pStyle w:val="Nadpis2"/>
        <w:keepLines/>
        <w:numPr>
          <w:ilvl w:val="1"/>
          <w:numId w:val="3"/>
        </w:numPr>
      </w:pPr>
      <w:bookmarkStart w:id="262" w:name="_Toc301423721"/>
      <w:r w:rsidRPr="00475828">
        <w:t xml:space="preserve">Povaha a účel </w:t>
      </w:r>
      <w:r w:rsidR="00E078F6" w:rsidRPr="00475828">
        <w:t>Stanoviska</w:t>
      </w:r>
      <w:r w:rsidRPr="00475828">
        <w:t xml:space="preserve"> v kontextu působnosti a pravomocí jednotlivých orgánů</w:t>
      </w:r>
      <w:bookmarkEnd w:id="262"/>
    </w:p>
    <w:p w14:paraId="3F8A0A90" w14:textId="77777777" w:rsidR="00DF1335" w:rsidRPr="00475828" w:rsidRDefault="00DF1335" w:rsidP="000767E4">
      <w:pPr>
        <w:keepNext/>
        <w:keepLines/>
        <w:ind w:firstLine="567"/>
        <w:rPr>
          <w:lang w:val="cs-CZ"/>
        </w:rPr>
      </w:pPr>
      <w:r w:rsidRPr="00475828">
        <w:rPr>
          <w:lang w:val="cs-CZ"/>
        </w:rPr>
        <w:t xml:space="preserve">Toto </w:t>
      </w:r>
      <w:r w:rsidR="00E078F6" w:rsidRPr="00475828">
        <w:rPr>
          <w:lang w:val="cs-CZ"/>
        </w:rPr>
        <w:t>Stanovisko</w:t>
      </w:r>
      <w:r w:rsidRPr="00475828">
        <w:rPr>
          <w:lang w:val="cs-CZ"/>
        </w:rPr>
        <w:t xml:space="preserve"> Úřad vypracoval zejména pro svou interní potřebu. Z výše uvedeného přehledu vyplývá, že Úřad v tuto chvíli nedisponuje </w:t>
      </w:r>
      <w:r w:rsidR="00E234CC" w:rsidRPr="00475828">
        <w:rPr>
          <w:lang w:val="cs-CZ"/>
        </w:rPr>
        <w:t>pravomocemi, které by mu umožňovaly v případě, že by shledal, že dochází k ohrožení či narušení efektivní hospodářské soutěže</w:t>
      </w:r>
      <w:r w:rsidR="004D165C" w:rsidRPr="00475828">
        <w:rPr>
          <w:lang w:val="cs-CZ"/>
        </w:rPr>
        <w:t xml:space="preserve"> v důsledku sdílení sítí</w:t>
      </w:r>
      <w:r w:rsidR="00E234CC" w:rsidRPr="00475828">
        <w:rPr>
          <w:lang w:val="cs-CZ"/>
        </w:rPr>
        <w:t>, přímo zasáhnout proti dotčeným operátorům</w:t>
      </w:r>
      <w:r w:rsidR="00D14B94" w:rsidRPr="00475828">
        <w:rPr>
          <w:lang w:val="cs-CZ"/>
        </w:rPr>
        <w:t xml:space="preserve"> a plnění dohody zakázat</w:t>
      </w:r>
      <w:r w:rsidR="00E234CC" w:rsidRPr="00475828">
        <w:rPr>
          <w:lang w:val="cs-CZ"/>
        </w:rPr>
        <w:t xml:space="preserve">. To však nevylučuje, aby Úřad aktivně plnil roli poradního orgánu. Za účelem jednoznačné formulace postoje ke sdílení sítí tak lze použít právě toto </w:t>
      </w:r>
      <w:r w:rsidR="00E078F6" w:rsidRPr="00475828">
        <w:rPr>
          <w:lang w:val="cs-CZ"/>
        </w:rPr>
        <w:t>Stanovisko</w:t>
      </w:r>
      <w:r w:rsidR="00E234CC" w:rsidRPr="00475828">
        <w:rPr>
          <w:lang w:val="cs-CZ"/>
        </w:rPr>
        <w:t>, které lze pod podmínkou zachování důvěrnosti sdílet jak s </w:t>
      </w:r>
      <w:r w:rsidR="004D165C" w:rsidRPr="00475828">
        <w:rPr>
          <w:lang w:val="cs-CZ"/>
        </w:rPr>
        <w:t>ÚOHS</w:t>
      </w:r>
      <w:r w:rsidR="00E234CC" w:rsidRPr="00475828">
        <w:rPr>
          <w:lang w:val="cs-CZ"/>
        </w:rPr>
        <w:t xml:space="preserve"> tak s Evropskou komisí a které lze chápat jako názorový dokument Úřadu shrnující problematiku sdílení sítí v kontextu českého mobilního trhu. </w:t>
      </w:r>
      <w:r w:rsidR="004D165C" w:rsidRPr="00475828">
        <w:rPr>
          <w:lang w:val="cs-CZ"/>
        </w:rPr>
        <w:t>V současné chvíli, kdy je dle dostupných informací situace sdílení sítí v České republice šetřena ze strany Komise, l</w:t>
      </w:r>
      <w:r w:rsidR="00E234CC" w:rsidRPr="00475828">
        <w:rPr>
          <w:lang w:val="cs-CZ"/>
        </w:rPr>
        <w:t xml:space="preserve">ze zvážit případné neformální sdílení předkládaného </w:t>
      </w:r>
      <w:r w:rsidR="00E078F6" w:rsidRPr="00475828">
        <w:rPr>
          <w:lang w:val="cs-CZ"/>
        </w:rPr>
        <w:t>Stanovisko</w:t>
      </w:r>
      <w:r w:rsidR="00E234CC" w:rsidRPr="00475828">
        <w:rPr>
          <w:lang w:val="cs-CZ"/>
        </w:rPr>
        <w:t xml:space="preserve"> s Komisí.</w:t>
      </w:r>
    </w:p>
    <w:p w14:paraId="2DC404EA" w14:textId="77777777" w:rsidR="009F7FFA" w:rsidRPr="00475828" w:rsidRDefault="009F7FFA" w:rsidP="001D143B">
      <w:pPr>
        <w:keepNext/>
        <w:keepLines/>
        <w:rPr>
          <w:rFonts w:cs="Arial"/>
          <w:sz w:val="24"/>
          <w:lang w:val="cs-CZ"/>
        </w:rPr>
      </w:pPr>
      <w:r w:rsidRPr="00475828">
        <w:rPr>
          <w:lang w:val="cs-CZ"/>
        </w:rPr>
        <w:br w:type="page"/>
      </w:r>
    </w:p>
    <w:p w14:paraId="53FD4D3D" w14:textId="77777777" w:rsidR="00B56296" w:rsidRPr="00475828" w:rsidRDefault="009F7FFA" w:rsidP="001D143B">
      <w:pPr>
        <w:pStyle w:val="Nadpis1"/>
        <w:keepLines/>
        <w:jc w:val="center"/>
        <w:rPr>
          <w:lang w:val="cs-CZ"/>
        </w:rPr>
      </w:pPr>
      <w:bookmarkStart w:id="263" w:name="_Toc301423722"/>
      <w:bookmarkStart w:id="264" w:name="_GoBack"/>
      <w:bookmarkEnd w:id="264"/>
      <w:r w:rsidRPr="00475828">
        <w:rPr>
          <w:lang w:val="cs-CZ"/>
        </w:rPr>
        <w:t xml:space="preserve">Příloha </w:t>
      </w:r>
      <w:r w:rsidR="000D432F" w:rsidRPr="00475828">
        <w:rPr>
          <w:lang w:val="cs-CZ"/>
        </w:rPr>
        <w:t>č. 1</w:t>
      </w:r>
      <w:bookmarkEnd w:id="263"/>
    </w:p>
    <w:p w14:paraId="3788FAE5" w14:textId="77777777" w:rsidR="009F7FFA" w:rsidRPr="00475828" w:rsidRDefault="009F7FFA" w:rsidP="00DF4E36">
      <w:pPr>
        <w:keepLines/>
        <w:jc w:val="center"/>
        <w:rPr>
          <w:b/>
          <w:lang w:val="cs-CZ"/>
        </w:rPr>
      </w:pPr>
      <w:r w:rsidRPr="00475828">
        <w:rPr>
          <w:b/>
          <w:lang w:val="cs-CZ"/>
        </w:rPr>
        <w:t>Definice</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5313"/>
      </w:tblGrid>
      <w:tr w:rsidR="00DE4CC6" w:rsidRPr="00843D00" w14:paraId="2D525925" w14:textId="77777777" w:rsidTr="00044F06">
        <w:tc>
          <w:tcPr>
            <w:tcW w:w="3227" w:type="dxa"/>
          </w:tcPr>
          <w:p w14:paraId="1D0E05F3" w14:textId="77777777" w:rsidR="00DE4CC6" w:rsidRPr="00475828" w:rsidRDefault="00DE4CC6" w:rsidP="00DF4E36">
            <w:pPr>
              <w:keepLines/>
              <w:rPr>
                <w:rFonts w:cs="Arial"/>
                <w:lang w:val="cs-CZ"/>
              </w:rPr>
            </w:pPr>
            <w:r w:rsidRPr="00475828">
              <w:rPr>
                <w:rFonts w:cs="Arial"/>
                <w:lang w:val="cs-CZ"/>
              </w:rPr>
              <w:t>AC</w:t>
            </w:r>
          </w:p>
        </w:tc>
        <w:tc>
          <w:tcPr>
            <w:tcW w:w="5321" w:type="dxa"/>
          </w:tcPr>
          <w:p w14:paraId="3E06FE30" w14:textId="77777777" w:rsidR="00DE4CC6" w:rsidRPr="00475828" w:rsidRDefault="00DE4CC6" w:rsidP="00DF4E36">
            <w:pPr>
              <w:keepLines/>
              <w:rPr>
                <w:rFonts w:cs="Arial"/>
                <w:lang w:val="cs-CZ"/>
              </w:rPr>
            </w:pPr>
            <w:proofErr w:type="spellStart"/>
            <w:r w:rsidRPr="00475828">
              <w:rPr>
                <w:rFonts w:cs="Arial"/>
                <w:lang w:val="cs-CZ"/>
              </w:rPr>
              <w:t>Autorité</w:t>
            </w:r>
            <w:proofErr w:type="spellEnd"/>
            <w:r w:rsidRPr="00475828">
              <w:rPr>
                <w:rFonts w:cs="Arial"/>
                <w:lang w:val="cs-CZ"/>
              </w:rPr>
              <w:t xml:space="preserve"> de la </w:t>
            </w:r>
            <w:proofErr w:type="spellStart"/>
            <w:r w:rsidRPr="00475828">
              <w:rPr>
                <w:rFonts w:cs="Arial"/>
                <w:lang w:val="cs-CZ"/>
              </w:rPr>
              <w:t>Concurrence</w:t>
            </w:r>
            <w:proofErr w:type="spellEnd"/>
            <w:r w:rsidRPr="00475828">
              <w:rPr>
                <w:rFonts w:cs="Arial"/>
                <w:lang w:val="cs-CZ"/>
              </w:rPr>
              <w:t>, francouzský úřad pro ochranu hospodářské soutěže</w:t>
            </w:r>
          </w:p>
        </w:tc>
      </w:tr>
      <w:tr w:rsidR="00DE4CC6" w:rsidRPr="00843D00" w14:paraId="341A2F47" w14:textId="77777777" w:rsidTr="00044F06">
        <w:tc>
          <w:tcPr>
            <w:tcW w:w="3227" w:type="dxa"/>
          </w:tcPr>
          <w:p w14:paraId="4B32B4E3" w14:textId="77777777" w:rsidR="00DE4CC6" w:rsidRPr="00475828" w:rsidRDefault="00DE4CC6" w:rsidP="00DF4E36">
            <w:pPr>
              <w:keepLines/>
              <w:rPr>
                <w:rFonts w:cs="Arial"/>
                <w:lang w:val="cs-CZ"/>
              </w:rPr>
            </w:pPr>
            <w:r w:rsidRPr="00475828">
              <w:rPr>
                <w:rFonts w:cs="Arial"/>
                <w:lang w:val="cs-CZ"/>
              </w:rPr>
              <w:t>ARCEP</w:t>
            </w:r>
          </w:p>
        </w:tc>
        <w:tc>
          <w:tcPr>
            <w:tcW w:w="5321" w:type="dxa"/>
          </w:tcPr>
          <w:p w14:paraId="73523723" w14:textId="77777777" w:rsidR="00DE4CC6" w:rsidRPr="00475828" w:rsidRDefault="00DE4CC6" w:rsidP="00DF4E36">
            <w:pPr>
              <w:keepLines/>
              <w:rPr>
                <w:rFonts w:cs="Arial"/>
                <w:lang w:val="cs-CZ"/>
              </w:rPr>
            </w:pPr>
            <w:proofErr w:type="spellStart"/>
            <w:r w:rsidRPr="00475828">
              <w:rPr>
                <w:rFonts w:cs="Arial"/>
                <w:lang w:val="cs-CZ"/>
              </w:rPr>
              <w:t>Autorité</w:t>
            </w:r>
            <w:proofErr w:type="spellEnd"/>
            <w:r w:rsidRPr="00475828">
              <w:rPr>
                <w:rFonts w:cs="Arial"/>
                <w:lang w:val="cs-CZ"/>
              </w:rPr>
              <w:t xml:space="preserve"> de </w:t>
            </w:r>
            <w:proofErr w:type="spellStart"/>
            <w:r w:rsidRPr="00475828">
              <w:rPr>
                <w:rFonts w:cs="Arial"/>
                <w:lang w:val="cs-CZ"/>
              </w:rPr>
              <w:t>régulation</w:t>
            </w:r>
            <w:proofErr w:type="spellEnd"/>
            <w:r w:rsidRPr="00475828">
              <w:rPr>
                <w:rFonts w:cs="Arial"/>
                <w:lang w:val="cs-CZ"/>
              </w:rPr>
              <w:t xml:space="preserve"> des </w:t>
            </w:r>
            <w:proofErr w:type="spellStart"/>
            <w:r w:rsidRPr="00475828">
              <w:rPr>
                <w:rFonts w:cs="Arial"/>
                <w:lang w:val="cs-CZ"/>
              </w:rPr>
              <w:t>communications</w:t>
            </w:r>
            <w:proofErr w:type="spellEnd"/>
            <w:r w:rsidRPr="00475828">
              <w:rPr>
                <w:rFonts w:cs="Arial"/>
                <w:lang w:val="cs-CZ"/>
              </w:rPr>
              <w:t xml:space="preserve"> </w:t>
            </w:r>
            <w:proofErr w:type="spellStart"/>
            <w:r w:rsidRPr="00475828">
              <w:rPr>
                <w:rFonts w:cs="Arial"/>
                <w:lang w:val="cs-CZ"/>
              </w:rPr>
              <w:t>électroniques</w:t>
            </w:r>
            <w:proofErr w:type="spellEnd"/>
            <w:r w:rsidRPr="00475828">
              <w:rPr>
                <w:rFonts w:cs="Arial"/>
                <w:lang w:val="cs-CZ"/>
              </w:rPr>
              <w:t xml:space="preserve"> et des </w:t>
            </w:r>
            <w:proofErr w:type="spellStart"/>
            <w:r w:rsidRPr="00475828">
              <w:rPr>
                <w:rFonts w:cs="Arial"/>
                <w:lang w:val="cs-CZ"/>
              </w:rPr>
              <w:t>postes</w:t>
            </w:r>
            <w:proofErr w:type="spellEnd"/>
            <w:r w:rsidRPr="00475828">
              <w:rPr>
                <w:rFonts w:cs="Arial"/>
                <w:lang w:val="cs-CZ"/>
              </w:rPr>
              <w:t>, francouzský úřad pro regulaci elektronických komunikací a poštovních služeb</w:t>
            </w:r>
          </w:p>
        </w:tc>
      </w:tr>
      <w:tr w:rsidR="00FB3C48" w:rsidRPr="00843D00" w14:paraId="3292E24A" w14:textId="77777777" w:rsidTr="00044F06">
        <w:tc>
          <w:tcPr>
            <w:tcW w:w="3227" w:type="dxa"/>
          </w:tcPr>
          <w:p w14:paraId="6B94907B" w14:textId="77777777" w:rsidR="00FB3C48" w:rsidRPr="00754DB4" w:rsidRDefault="00FB3C48" w:rsidP="00DF4E36">
            <w:pPr>
              <w:keepLines/>
              <w:rPr>
                <w:rFonts w:cs="Arial"/>
                <w:lang w:val="cs-CZ"/>
              </w:rPr>
            </w:pPr>
            <w:r w:rsidRPr="00754DB4">
              <w:rPr>
                <w:rFonts w:cs="Arial"/>
                <w:lang w:val="cs-CZ"/>
              </w:rPr>
              <w:t>Aukce 4G</w:t>
            </w:r>
          </w:p>
        </w:tc>
        <w:tc>
          <w:tcPr>
            <w:tcW w:w="5321" w:type="dxa"/>
          </w:tcPr>
          <w:p w14:paraId="3D77A8C8" w14:textId="77777777" w:rsidR="00FB3C48" w:rsidRPr="00754DB4" w:rsidRDefault="00754DB4" w:rsidP="00DF4E36">
            <w:pPr>
              <w:keepLines/>
              <w:rPr>
                <w:rFonts w:cs="Arial"/>
                <w:lang w:val="cs-CZ"/>
              </w:rPr>
            </w:pPr>
            <w:r w:rsidRPr="00754DB4">
              <w:rPr>
                <w:rFonts w:cs="Arial"/>
                <w:lang w:val="cs-CZ"/>
              </w:rPr>
              <w:t>Výběrové řízení za účelem udělení práv k využívání rádiových kmitočtů k zajištění veřejné komunikační sítě v pásmech 800 MHz, 1800 MHz a 2600 MHz konané v roce 2013</w:t>
            </w:r>
          </w:p>
        </w:tc>
      </w:tr>
      <w:tr w:rsidR="00DE4CC6" w:rsidRPr="00475828" w14:paraId="6F6C4D2A" w14:textId="77777777" w:rsidTr="00044F06">
        <w:tc>
          <w:tcPr>
            <w:tcW w:w="3227" w:type="dxa"/>
          </w:tcPr>
          <w:p w14:paraId="47FFFE5C" w14:textId="77777777" w:rsidR="00DE4CC6" w:rsidRPr="00475828" w:rsidRDefault="00464881" w:rsidP="00DF4E36">
            <w:pPr>
              <w:keepLines/>
              <w:rPr>
                <w:rFonts w:cs="Arial"/>
                <w:lang w:val="cs-CZ"/>
              </w:rPr>
            </w:pPr>
            <w:r w:rsidRPr="00475828">
              <w:rPr>
                <w:rFonts w:cs="Arial"/>
                <w:lang w:val="cs-CZ"/>
              </w:rPr>
              <w:t>Úřad</w:t>
            </w:r>
          </w:p>
        </w:tc>
        <w:tc>
          <w:tcPr>
            <w:tcW w:w="5321" w:type="dxa"/>
          </w:tcPr>
          <w:p w14:paraId="42CDE238" w14:textId="77777777" w:rsidR="00DE4CC6" w:rsidRPr="00475828" w:rsidRDefault="00DE4CC6" w:rsidP="00DF4E36">
            <w:pPr>
              <w:keepLines/>
              <w:rPr>
                <w:rFonts w:cs="Arial"/>
                <w:lang w:val="cs-CZ"/>
              </w:rPr>
            </w:pPr>
            <w:r w:rsidRPr="00475828">
              <w:rPr>
                <w:rFonts w:cs="Arial"/>
                <w:lang w:val="cs-CZ"/>
              </w:rPr>
              <w:t>Český telekomunikační úřad</w:t>
            </w:r>
          </w:p>
        </w:tc>
      </w:tr>
      <w:tr w:rsidR="004A262C" w:rsidRPr="00AC5A97" w14:paraId="261D7E96" w14:textId="77777777" w:rsidTr="00044F06">
        <w:tc>
          <w:tcPr>
            <w:tcW w:w="3227" w:type="dxa"/>
          </w:tcPr>
          <w:p w14:paraId="28D947C2" w14:textId="77777777" w:rsidR="004A262C" w:rsidRPr="00475828" w:rsidRDefault="004A262C" w:rsidP="00DF4E36">
            <w:pPr>
              <w:keepLines/>
              <w:rPr>
                <w:rFonts w:cs="Arial"/>
                <w:lang w:val="cs-CZ"/>
              </w:rPr>
            </w:pPr>
            <w:r>
              <w:rPr>
                <w:rFonts w:cs="Arial"/>
                <w:lang w:val="cs-CZ"/>
              </w:rPr>
              <w:t>JV společnost</w:t>
            </w:r>
          </w:p>
        </w:tc>
        <w:tc>
          <w:tcPr>
            <w:tcW w:w="5321" w:type="dxa"/>
          </w:tcPr>
          <w:p w14:paraId="32A2AEED" w14:textId="77777777" w:rsidR="004A262C" w:rsidRPr="00475828" w:rsidRDefault="004A262C" w:rsidP="00DF4E36">
            <w:pPr>
              <w:keepLines/>
              <w:rPr>
                <w:rFonts w:cs="Arial"/>
                <w:lang w:val="cs-CZ"/>
              </w:rPr>
            </w:pPr>
            <w:r>
              <w:rPr>
                <w:rFonts w:cs="Arial"/>
                <w:lang w:val="cs-CZ"/>
              </w:rPr>
              <w:t>Joint venture společnost, společná právnická osoba</w:t>
            </w:r>
          </w:p>
        </w:tc>
      </w:tr>
      <w:tr w:rsidR="00DE4CC6" w:rsidRPr="00475828" w14:paraId="332F5580" w14:textId="77777777" w:rsidTr="00044F06">
        <w:tc>
          <w:tcPr>
            <w:tcW w:w="3227" w:type="dxa"/>
          </w:tcPr>
          <w:p w14:paraId="548DF4B7" w14:textId="77777777" w:rsidR="00DE4CC6" w:rsidRPr="00475828" w:rsidRDefault="00DE4CC6" w:rsidP="00DF4E36">
            <w:pPr>
              <w:keepLines/>
              <w:rPr>
                <w:rFonts w:cs="Arial"/>
                <w:lang w:val="cs-CZ"/>
              </w:rPr>
            </w:pPr>
            <w:r w:rsidRPr="00475828">
              <w:rPr>
                <w:rFonts w:cs="Arial"/>
                <w:lang w:val="cs-CZ"/>
              </w:rPr>
              <w:t>Komise, EK</w:t>
            </w:r>
          </w:p>
        </w:tc>
        <w:tc>
          <w:tcPr>
            <w:tcW w:w="5321" w:type="dxa"/>
          </w:tcPr>
          <w:p w14:paraId="64F20178" w14:textId="77777777" w:rsidR="00DE4CC6" w:rsidRPr="00475828" w:rsidRDefault="00DE4CC6" w:rsidP="00DF4E36">
            <w:pPr>
              <w:keepLines/>
              <w:rPr>
                <w:rFonts w:cs="Arial"/>
                <w:lang w:val="cs-CZ"/>
              </w:rPr>
            </w:pPr>
            <w:r w:rsidRPr="00475828">
              <w:rPr>
                <w:rFonts w:cs="Arial"/>
                <w:lang w:val="cs-CZ"/>
              </w:rPr>
              <w:t>Evropská komise</w:t>
            </w:r>
          </w:p>
        </w:tc>
      </w:tr>
      <w:tr w:rsidR="00EF1411" w:rsidRPr="00843D00" w14:paraId="027F8EAB" w14:textId="77777777" w:rsidTr="00044F06">
        <w:tc>
          <w:tcPr>
            <w:tcW w:w="3227" w:type="dxa"/>
          </w:tcPr>
          <w:p w14:paraId="39EFE179" w14:textId="77777777" w:rsidR="00EF1411" w:rsidRPr="00475828" w:rsidRDefault="00EF1411" w:rsidP="00DF4E36">
            <w:pPr>
              <w:keepLines/>
              <w:rPr>
                <w:rFonts w:cs="Arial"/>
                <w:lang w:val="cs-CZ"/>
              </w:rPr>
            </w:pPr>
            <w:r w:rsidRPr="00475828">
              <w:rPr>
                <w:rFonts w:cs="Arial"/>
                <w:lang w:val="cs-CZ"/>
              </w:rPr>
              <w:t>Memorandum o spolupráci</w:t>
            </w:r>
          </w:p>
        </w:tc>
        <w:tc>
          <w:tcPr>
            <w:tcW w:w="5321" w:type="dxa"/>
          </w:tcPr>
          <w:p w14:paraId="42A9ADDB" w14:textId="77777777" w:rsidR="00EF1411" w:rsidRPr="00475828" w:rsidRDefault="00EF1411" w:rsidP="00DF4E36">
            <w:pPr>
              <w:keepLines/>
              <w:rPr>
                <w:rFonts w:cs="Arial"/>
                <w:lang w:val="cs-CZ"/>
              </w:rPr>
            </w:pPr>
            <w:r w:rsidRPr="00475828">
              <w:rPr>
                <w:rFonts w:cs="Arial"/>
                <w:lang w:val="cs-CZ"/>
              </w:rPr>
              <w:t>Memorandum o spolupráci mezi Úřadem pro ochranu hospodářské soutěže a Českým telekomunikačním úřadem ze dne 24. ledna 2001, dostupné z</w:t>
            </w:r>
            <w:r w:rsidR="00247FC2">
              <w:rPr>
                <w:rFonts w:cs="Arial"/>
                <w:lang w:val="cs-CZ"/>
              </w:rPr>
              <w:t> </w:t>
            </w:r>
            <w:r w:rsidRPr="00475828">
              <w:rPr>
                <w:rFonts w:cs="Arial"/>
                <w:lang w:val="cs-CZ"/>
              </w:rPr>
              <w:t>http://www.uohs.cz/download/Sekce_HS/MemCTU.pdf</w:t>
            </w:r>
          </w:p>
        </w:tc>
      </w:tr>
      <w:tr w:rsidR="00DE4CC6" w:rsidRPr="00843D00" w14:paraId="2E038473" w14:textId="77777777" w:rsidTr="00044F06">
        <w:tc>
          <w:tcPr>
            <w:tcW w:w="3227" w:type="dxa"/>
          </w:tcPr>
          <w:p w14:paraId="7290DD02" w14:textId="77777777" w:rsidR="00DE4CC6" w:rsidRPr="00475828" w:rsidRDefault="00DE4CC6" w:rsidP="00DF4E36">
            <w:pPr>
              <w:keepLines/>
              <w:rPr>
                <w:rFonts w:cs="Arial"/>
                <w:lang w:val="cs-CZ"/>
              </w:rPr>
            </w:pPr>
            <w:r w:rsidRPr="00475828">
              <w:rPr>
                <w:rFonts w:cs="Arial"/>
                <w:lang w:val="cs-CZ"/>
              </w:rPr>
              <w:t>MNO</w:t>
            </w:r>
          </w:p>
        </w:tc>
        <w:tc>
          <w:tcPr>
            <w:tcW w:w="5321" w:type="dxa"/>
          </w:tcPr>
          <w:p w14:paraId="3A7B79FC" w14:textId="77777777" w:rsidR="00DE4CC6" w:rsidRPr="00475828" w:rsidRDefault="00DE4CC6" w:rsidP="00DF4E36">
            <w:pPr>
              <w:keepLines/>
              <w:rPr>
                <w:rFonts w:cs="Arial"/>
                <w:lang w:val="cs-CZ"/>
              </w:rPr>
            </w:pPr>
            <w:r w:rsidRPr="00475828">
              <w:rPr>
                <w:rFonts w:cs="Arial"/>
                <w:lang w:val="cs-CZ"/>
              </w:rPr>
              <w:t xml:space="preserve">„Mobile Network </w:t>
            </w:r>
            <w:proofErr w:type="spellStart"/>
            <w:r w:rsidRPr="00475828">
              <w:rPr>
                <w:rFonts w:cs="Arial"/>
                <w:lang w:val="cs-CZ"/>
              </w:rPr>
              <w:t>Operator</w:t>
            </w:r>
            <w:proofErr w:type="spellEnd"/>
            <w:r w:rsidRPr="00475828">
              <w:rPr>
                <w:rFonts w:cs="Arial"/>
                <w:lang w:val="cs-CZ"/>
              </w:rPr>
              <w:t xml:space="preserve">“, standardní plnohodnotný mobilní operátor. V textu </w:t>
            </w:r>
            <w:r w:rsidR="00E078F6" w:rsidRPr="00475828">
              <w:rPr>
                <w:rFonts w:cs="Arial"/>
                <w:lang w:val="cs-CZ"/>
              </w:rPr>
              <w:t>Stanoviska</w:t>
            </w:r>
            <w:r w:rsidRPr="00475828">
              <w:rPr>
                <w:rFonts w:cs="Arial"/>
                <w:lang w:val="cs-CZ"/>
              </w:rPr>
              <w:t xml:space="preserve"> označuje společnosti dle kontextu TMCZ, O2 a/nebo Vodafone.</w:t>
            </w:r>
          </w:p>
        </w:tc>
      </w:tr>
      <w:tr w:rsidR="00FB3C48" w:rsidRPr="00AA72AB" w14:paraId="6CC329D1" w14:textId="77777777" w:rsidTr="00044F06">
        <w:tc>
          <w:tcPr>
            <w:tcW w:w="3227" w:type="dxa"/>
          </w:tcPr>
          <w:p w14:paraId="57FD09B1" w14:textId="77777777" w:rsidR="00FB3C48" w:rsidRPr="00475828" w:rsidRDefault="00FB3C48" w:rsidP="00DF4E36">
            <w:pPr>
              <w:keepLines/>
              <w:rPr>
                <w:rFonts w:cs="Arial"/>
                <w:lang w:val="cs-CZ"/>
              </w:rPr>
            </w:pPr>
            <w:proofErr w:type="spellStart"/>
            <w:r>
              <w:rPr>
                <w:rFonts w:cs="Arial"/>
                <w:lang w:val="cs-CZ"/>
              </w:rPr>
              <w:t>MNOs</w:t>
            </w:r>
            <w:proofErr w:type="spellEnd"/>
          </w:p>
        </w:tc>
        <w:tc>
          <w:tcPr>
            <w:tcW w:w="5321" w:type="dxa"/>
          </w:tcPr>
          <w:p w14:paraId="2169A3F1" w14:textId="77777777" w:rsidR="00FB3C48" w:rsidRPr="00475828" w:rsidRDefault="00FB3C48" w:rsidP="00DF4E36">
            <w:pPr>
              <w:keepLines/>
              <w:rPr>
                <w:rFonts w:cs="Arial"/>
                <w:lang w:val="cs-CZ"/>
              </w:rPr>
            </w:pPr>
            <w:r>
              <w:rPr>
                <w:rFonts w:cs="Arial"/>
                <w:lang w:val="cs-CZ"/>
              </w:rPr>
              <w:t>Množné číslo od MNO.</w:t>
            </w:r>
          </w:p>
        </w:tc>
      </w:tr>
      <w:tr w:rsidR="00DE4CC6" w:rsidRPr="00843D00" w14:paraId="157B070F" w14:textId="77777777" w:rsidTr="00044F06">
        <w:tc>
          <w:tcPr>
            <w:tcW w:w="3227" w:type="dxa"/>
          </w:tcPr>
          <w:p w14:paraId="16282BE4" w14:textId="77777777" w:rsidR="00DE4CC6" w:rsidRPr="00475828" w:rsidRDefault="00DE4CC6" w:rsidP="00DF4E36">
            <w:pPr>
              <w:keepLines/>
              <w:rPr>
                <w:rFonts w:cs="Arial"/>
                <w:lang w:val="cs-CZ"/>
              </w:rPr>
            </w:pPr>
            <w:r w:rsidRPr="00475828">
              <w:rPr>
                <w:rFonts w:cs="Arial"/>
                <w:lang w:val="cs-CZ"/>
              </w:rPr>
              <w:t>MVNO</w:t>
            </w:r>
          </w:p>
        </w:tc>
        <w:tc>
          <w:tcPr>
            <w:tcW w:w="5321" w:type="dxa"/>
          </w:tcPr>
          <w:p w14:paraId="1E289223" w14:textId="77777777" w:rsidR="00DE4CC6" w:rsidRPr="00475828" w:rsidRDefault="00DE4CC6" w:rsidP="00DF4E36">
            <w:pPr>
              <w:keepLines/>
              <w:rPr>
                <w:rFonts w:cs="Arial"/>
                <w:lang w:val="cs-CZ"/>
              </w:rPr>
            </w:pPr>
            <w:r w:rsidRPr="00475828">
              <w:rPr>
                <w:lang w:val="cs-CZ"/>
              </w:rPr>
              <w:t xml:space="preserve">„Mobile </w:t>
            </w:r>
            <w:proofErr w:type="spellStart"/>
            <w:r w:rsidRPr="00475828">
              <w:rPr>
                <w:lang w:val="cs-CZ"/>
              </w:rPr>
              <w:t>Virtual</w:t>
            </w:r>
            <w:proofErr w:type="spellEnd"/>
            <w:r w:rsidRPr="00475828">
              <w:rPr>
                <w:lang w:val="cs-CZ"/>
              </w:rPr>
              <w:t xml:space="preserve"> Network </w:t>
            </w:r>
            <w:proofErr w:type="spellStart"/>
            <w:r w:rsidRPr="00475828">
              <w:rPr>
                <w:lang w:val="cs-CZ"/>
              </w:rPr>
              <w:t>Operator</w:t>
            </w:r>
            <w:proofErr w:type="spellEnd"/>
            <w:r w:rsidRPr="00475828">
              <w:rPr>
                <w:lang w:val="cs-CZ"/>
              </w:rPr>
              <w:t>“, je virtuální mobilní operátor, tzn. společnost, která poskytuje mobilní služby elektronických komunikací koncovým uživatelům s využitím sítě hostitelského provozovatele veřejné komunikační sítě. Služby hostitelského provozovatele veřejné komunikační sítě jsou MVNO poskytovány na základě velkoobchodní smlouvy.</w:t>
            </w:r>
          </w:p>
        </w:tc>
      </w:tr>
      <w:tr w:rsidR="00167708" w:rsidRPr="00475828" w14:paraId="5D36DDF5" w14:textId="77777777" w:rsidTr="00044F06">
        <w:tc>
          <w:tcPr>
            <w:tcW w:w="3227" w:type="dxa"/>
          </w:tcPr>
          <w:p w14:paraId="2BCA82B9" w14:textId="77777777" w:rsidR="00167708" w:rsidRPr="00475828" w:rsidRDefault="00167708" w:rsidP="00DF4E36">
            <w:pPr>
              <w:keepLines/>
              <w:rPr>
                <w:rFonts w:cs="Arial"/>
                <w:lang w:val="cs-CZ"/>
              </w:rPr>
            </w:pPr>
            <w:r w:rsidRPr="00475828">
              <w:rPr>
                <w:rFonts w:cs="Arial"/>
                <w:lang w:val="cs-CZ"/>
              </w:rPr>
              <w:t>NCA</w:t>
            </w:r>
          </w:p>
        </w:tc>
        <w:tc>
          <w:tcPr>
            <w:tcW w:w="5321" w:type="dxa"/>
          </w:tcPr>
          <w:p w14:paraId="1305B67F" w14:textId="77777777" w:rsidR="00167708" w:rsidRPr="00475828" w:rsidRDefault="00167708" w:rsidP="00DF4E36">
            <w:pPr>
              <w:keepLines/>
              <w:rPr>
                <w:lang w:val="cs-CZ"/>
              </w:rPr>
            </w:pPr>
            <w:r w:rsidRPr="00475828">
              <w:rPr>
                <w:lang w:val="cs-CZ"/>
              </w:rPr>
              <w:t>Národní soutěžní úřad</w:t>
            </w:r>
          </w:p>
        </w:tc>
      </w:tr>
      <w:tr w:rsidR="00167708" w:rsidRPr="00843D00" w14:paraId="79F34F6C" w14:textId="77777777" w:rsidTr="00044F06">
        <w:tc>
          <w:tcPr>
            <w:tcW w:w="3227" w:type="dxa"/>
          </w:tcPr>
          <w:p w14:paraId="1CEDE635" w14:textId="77777777" w:rsidR="00167708" w:rsidRPr="00475828" w:rsidRDefault="00167708" w:rsidP="00DF4E36">
            <w:pPr>
              <w:keepLines/>
              <w:rPr>
                <w:rFonts w:cs="Arial"/>
                <w:lang w:val="cs-CZ"/>
              </w:rPr>
            </w:pPr>
            <w:r w:rsidRPr="00475828">
              <w:rPr>
                <w:rFonts w:cs="Arial"/>
                <w:lang w:val="cs-CZ"/>
              </w:rPr>
              <w:t>NRA</w:t>
            </w:r>
          </w:p>
        </w:tc>
        <w:tc>
          <w:tcPr>
            <w:tcW w:w="5321" w:type="dxa"/>
          </w:tcPr>
          <w:p w14:paraId="6DA54FCD" w14:textId="77777777" w:rsidR="00167708" w:rsidRPr="00475828" w:rsidRDefault="00167708" w:rsidP="00DF4E36">
            <w:pPr>
              <w:keepLines/>
              <w:rPr>
                <w:lang w:val="cs-CZ"/>
              </w:rPr>
            </w:pPr>
            <w:r w:rsidRPr="00475828">
              <w:rPr>
                <w:lang w:val="cs-CZ"/>
              </w:rPr>
              <w:t>Národní regulátor, v jehož kompetenci je regulace elektronických komunikací</w:t>
            </w:r>
          </w:p>
        </w:tc>
      </w:tr>
      <w:tr w:rsidR="00DE4CC6" w:rsidRPr="00843D00" w14:paraId="40D21530" w14:textId="77777777" w:rsidTr="00044F06">
        <w:tc>
          <w:tcPr>
            <w:tcW w:w="3227" w:type="dxa"/>
          </w:tcPr>
          <w:p w14:paraId="063AEE6E" w14:textId="77777777" w:rsidR="00DE4CC6" w:rsidRPr="00475828" w:rsidRDefault="00DE4CC6" w:rsidP="00DF4E36">
            <w:pPr>
              <w:keepLines/>
              <w:rPr>
                <w:rFonts w:cs="Arial"/>
                <w:lang w:val="cs-CZ"/>
              </w:rPr>
            </w:pPr>
            <w:r w:rsidRPr="00475828">
              <w:rPr>
                <w:rFonts w:cs="Arial"/>
                <w:lang w:val="cs-CZ"/>
              </w:rPr>
              <w:t>O2</w:t>
            </w:r>
          </w:p>
        </w:tc>
        <w:tc>
          <w:tcPr>
            <w:tcW w:w="5321" w:type="dxa"/>
          </w:tcPr>
          <w:p w14:paraId="1DD99FBF" w14:textId="77777777" w:rsidR="00DE4CC6" w:rsidRPr="00475828" w:rsidRDefault="00DE4CC6" w:rsidP="00DF4E36">
            <w:pPr>
              <w:keepLines/>
              <w:rPr>
                <w:rFonts w:cs="Arial"/>
                <w:lang w:val="cs-CZ"/>
              </w:rPr>
            </w:pPr>
            <w:r w:rsidRPr="00475828">
              <w:rPr>
                <w:rFonts w:cs="Arial"/>
                <w:lang w:val="cs-CZ"/>
              </w:rPr>
              <w:t xml:space="preserve">O2 Czech Republic a.s., se sídlem Praha 4 - Michle, Za </w:t>
            </w:r>
            <w:proofErr w:type="spellStart"/>
            <w:r w:rsidRPr="00475828">
              <w:rPr>
                <w:rFonts w:cs="Arial"/>
                <w:lang w:val="cs-CZ"/>
              </w:rPr>
              <w:t>Brumlovkou</w:t>
            </w:r>
            <w:proofErr w:type="spellEnd"/>
            <w:r w:rsidRPr="00475828">
              <w:rPr>
                <w:rFonts w:cs="Arial"/>
                <w:lang w:val="cs-CZ"/>
              </w:rPr>
              <w:t xml:space="preserve"> 266/2, PSČ 14022, IČO 60193336, zapsaná v Obchodním rejstříku vedeném Městským soudem v Praze, oddíl B, vložka 2322</w:t>
            </w:r>
          </w:p>
        </w:tc>
      </w:tr>
      <w:tr w:rsidR="00E234CC" w:rsidRPr="00843D00" w14:paraId="7ED47F17" w14:textId="77777777" w:rsidTr="00044F06">
        <w:tc>
          <w:tcPr>
            <w:tcW w:w="3227" w:type="dxa"/>
          </w:tcPr>
          <w:p w14:paraId="5683B21F" w14:textId="77777777" w:rsidR="00E234CC" w:rsidRPr="00475828" w:rsidRDefault="00E234CC" w:rsidP="00DF4E36">
            <w:pPr>
              <w:keepLines/>
              <w:rPr>
                <w:rFonts w:cs="Arial"/>
                <w:lang w:val="cs-CZ"/>
              </w:rPr>
            </w:pPr>
            <w:r w:rsidRPr="00475828">
              <w:rPr>
                <w:rFonts w:cs="Arial"/>
                <w:lang w:val="cs-CZ"/>
              </w:rPr>
              <w:t>OFCOM</w:t>
            </w:r>
          </w:p>
        </w:tc>
        <w:tc>
          <w:tcPr>
            <w:tcW w:w="5321" w:type="dxa"/>
          </w:tcPr>
          <w:p w14:paraId="15552761" w14:textId="77777777" w:rsidR="00E234CC" w:rsidRPr="00475828" w:rsidRDefault="00167708" w:rsidP="00DF4E36">
            <w:pPr>
              <w:keepLines/>
              <w:rPr>
                <w:rFonts w:cs="Arial"/>
                <w:lang w:val="cs-CZ"/>
              </w:rPr>
            </w:pPr>
            <w:r w:rsidRPr="00475828">
              <w:rPr>
                <w:rFonts w:cs="Arial"/>
                <w:lang w:val="cs-CZ"/>
              </w:rPr>
              <w:t>Nezávislý britský regulátor a soutěžní úřad pověřený dohledem nad sektorem komunikací ve Velké Británii</w:t>
            </w:r>
          </w:p>
        </w:tc>
      </w:tr>
      <w:tr w:rsidR="00E234CC" w:rsidRPr="00475828" w14:paraId="5636B92E" w14:textId="77777777" w:rsidTr="00044F06">
        <w:tc>
          <w:tcPr>
            <w:tcW w:w="3227" w:type="dxa"/>
          </w:tcPr>
          <w:p w14:paraId="391C80CE" w14:textId="77777777" w:rsidR="00E234CC" w:rsidRPr="00475828" w:rsidRDefault="00E234CC" w:rsidP="00DF4E36">
            <w:pPr>
              <w:keepLines/>
              <w:rPr>
                <w:rFonts w:cs="Arial"/>
                <w:lang w:val="cs-CZ"/>
              </w:rPr>
            </w:pPr>
            <w:r w:rsidRPr="00475828">
              <w:rPr>
                <w:rFonts w:cs="Arial"/>
                <w:lang w:val="cs-CZ"/>
              </w:rPr>
              <w:t>OFT</w:t>
            </w:r>
          </w:p>
        </w:tc>
        <w:tc>
          <w:tcPr>
            <w:tcW w:w="5321" w:type="dxa"/>
          </w:tcPr>
          <w:p w14:paraId="15862499" w14:textId="77777777" w:rsidR="00E234CC" w:rsidRPr="00475828" w:rsidRDefault="00167708" w:rsidP="00DF4E36">
            <w:pPr>
              <w:keepLines/>
              <w:rPr>
                <w:rFonts w:cs="Arial"/>
                <w:lang w:val="cs-CZ"/>
              </w:rPr>
            </w:pPr>
            <w:r w:rsidRPr="00475828">
              <w:rPr>
                <w:rFonts w:cs="Arial"/>
                <w:lang w:val="cs-CZ"/>
              </w:rPr>
              <w:t xml:space="preserve">Office </w:t>
            </w:r>
            <w:proofErr w:type="spellStart"/>
            <w:r w:rsidRPr="00475828">
              <w:rPr>
                <w:rFonts w:cs="Arial"/>
                <w:lang w:val="cs-CZ"/>
              </w:rPr>
              <w:t>for</w:t>
            </w:r>
            <w:proofErr w:type="spellEnd"/>
            <w:r w:rsidRPr="00475828">
              <w:rPr>
                <w:rFonts w:cs="Arial"/>
                <w:lang w:val="cs-CZ"/>
              </w:rPr>
              <w:t xml:space="preserve"> Fair </w:t>
            </w:r>
            <w:proofErr w:type="spellStart"/>
            <w:r w:rsidRPr="00475828">
              <w:rPr>
                <w:rFonts w:cs="Arial"/>
                <w:lang w:val="cs-CZ"/>
              </w:rPr>
              <w:t>Trading</w:t>
            </w:r>
            <w:proofErr w:type="spellEnd"/>
            <w:r w:rsidRPr="00475828">
              <w:rPr>
                <w:rFonts w:cs="Arial"/>
                <w:lang w:val="cs-CZ"/>
              </w:rPr>
              <w:t>, pověřený především ochranou zájmů spotřebitelů. Zrušen k </w:t>
            </w:r>
            <w:proofErr w:type="gramStart"/>
            <w:r w:rsidRPr="00475828">
              <w:rPr>
                <w:rFonts w:cs="Arial"/>
                <w:lang w:val="cs-CZ"/>
              </w:rPr>
              <w:t>31.12.2013</w:t>
            </w:r>
            <w:proofErr w:type="gramEnd"/>
            <w:r w:rsidRPr="00475828">
              <w:rPr>
                <w:rFonts w:cs="Arial"/>
                <w:lang w:val="cs-CZ"/>
              </w:rPr>
              <w:t>.</w:t>
            </w:r>
          </w:p>
        </w:tc>
      </w:tr>
      <w:tr w:rsidR="00A163E1" w:rsidRPr="00843D00" w14:paraId="6774B80B" w14:textId="77777777" w:rsidTr="00044F06">
        <w:tc>
          <w:tcPr>
            <w:tcW w:w="3227" w:type="dxa"/>
          </w:tcPr>
          <w:p w14:paraId="0C6AEB03" w14:textId="77777777" w:rsidR="00A163E1" w:rsidRPr="00475828" w:rsidRDefault="00A163E1" w:rsidP="00DF4E36">
            <w:pPr>
              <w:keepLines/>
              <w:rPr>
                <w:rFonts w:cs="Arial"/>
                <w:lang w:val="cs-CZ"/>
              </w:rPr>
            </w:pPr>
            <w:r>
              <w:rPr>
                <w:rFonts w:cs="Arial"/>
                <w:lang w:val="cs-CZ"/>
              </w:rPr>
              <w:t>SES</w:t>
            </w:r>
          </w:p>
        </w:tc>
        <w:tc>
          <w:tcPr>
            <w:tcW w:w="5321" w:type="dxa"/>
          </w:tcPr>
          <w:p w14:paraId="7CC688A2" w14:textId="77777777" w:rsidR="00A163E1" w:rsidRPr="00475828" w:rsidRDefault="00A163E1" w:rsidP="00DF4E36">
            <w:pPr>
              <w:keepLines/>
              <w:rPr>
                <w:rFonts w:cs="Arial"/>
                <w:lang w:val="cs-CZ"/>
              </w:rPr>
            </w:pPr>
            <w:r>
              <w:rPr>
                <w:rFonts w:cs="Arial"/>
                <w:lang w:val="cs-CZ"/>
              </w:rPr>
              <w:t>Smlouva o založení Evropského společenství</w:t>
            </w:r>
          </w:p>
        </w:tc>
      </w:tr>
      <w:tr w:rsidR="00A163E1" w:rsidRPr="00843D00" w14:paraId="6ECD9918" w14:textId="77777777" w:rsidTr="00044F06">
        <w:tc>
          <w:tcPr>
            <w:tcW w:w="3227" w:type="dxa"/>
          </w:tcPr>
          <w:p w14:paraId="03C56E51" w14:textId="77777777" w:rsidR="00A163E1" w:rsidRPr="00475828" w:rsidRDefault="00A163E1" w:rsidP="00DF4E36">
            <w:pPr>
              <w:keepLines/>
              <w:rPr>
                <w:rFonts w:cs="Arial"/>
                <w:lang w:val="cs-CZ"/>
              </w:rPr>
            </w:pPr>
            <w:r>
              <w:rPr>
                <w:rFonts w:cs="Arial"/>
                <w:lang w:val="cs-CZ"/>
              </w:rPr>
              <w:t>SFEU</w:t>
            </w:r>
          </w:p>
        </w:tc>
        <w:tc>
          <w:tcPr>
            <w:tcW w:w="5321" w:type="dxa"/>
          </w:tcPr>
          <w:p w14:paraId="4825D79E" w14:textId="77777777" w:rsidR="00A163E1" w:rsidRPr="00475828" w:rsidRDefault="00A163E1" w:rsidP="00DF4E36">
            <w:pPr>
              <w:keepLines/>
              <w:rPr>
                <w:rFonts w:cs="Arial"/>
                <w:lang w:val="cs-CZ"/>
              </w:rPr>
            </w:pPr>
            <w:r>
              <w:rPr>
                <w:rFonts w:cs="Arial"/>
                <w:lang w:val="cs-CZ"/>
              </w:rPr>
              <w:t>Smlouva o fungování Evropské Unie</w:t>
            </w:r>
          </w:p>
        </w:tc>
      </w:tr>
      <w:tr w:rsidR="00DE4CC6" w:rsidRPr="00843D00" w14:paraId="28D9D60E" w14:textId="77777777" w:rsidTr="00044F06">
        <w:tc>
          <w:tcPr>
            <w:tcW w:w="3227" w:type="dxa"/>
          </w:tcPr>
          <w:p w14:paraId="60771F9C" w14:textId="77777777" w:rsidR="00DE4CC6" w:rsidRPr="00475828" w:rsidRDefault="00DE4CC6" w:rsidP="00DF4E36">
            <w:pPr>
              <w:keepLines/>
              <w:rPr>
                <w:rFonts w:cs="Arial"/>
                <w:lang w:val="cs-CZ"/>
              </w:rPr>
            </w:pPr>
            <w:r w:rsidRPr="00475828">
              <w:rPr>
                <w:rFonts w:cs="Arial"/>
                <w:lang w:val="cs-CZ"/>
              </w:rPr>
              <w:t>Smlouva o pronájmu optických vláken</w:t>
            </w:r>
          </w:p>
        </w:tc>
        <w:tc>
          <w:tcPr>
            <w:tcW w:w="5321" w:type="dxa"/>
          </w:tcPr>
          <w:p w14:paraId="5504811B" w14:textId="6C25237F" w:rsidR="00DE4CC6" w:rsidRPr="00475828" w:rsidRDefault="00DE4CC6" w:rsidP="00DF4E36">
            <w:pPr>
              <w:keepLines/>
              <w:rPr>
                <w:rFonts w:cs="Arial"/>
                <w:lang w:val="cs-CZ"/>
              </w:rPr>
            </w:pPr>
            <w:r w:rsidRPr="00475828">
              <w:rPr>
                <w:rFonts w:cs="Arial"/>
                <w:lang w:val="cs-CZ"/>
              </w:rPr>
              <w:t>Rámcové smlouvy o pronájmu optických vláken a</w:t>
            </w:r>
            <w:r w:rsidR="00247FC2">
              <w:rPr>
                <w:rFonts w:cs="Arial"/>
                <w:lang w:val="cs-CZ"/>
              </w:rPr>
              <w:t> </w:t>
            </w:r>
            <w:r w:rsidRPr="00475828">
              <w:rPr>
                <w:rFonts w:cs="Arial"/>
                <w:lang w:val="cs-CZ"/>
              </w:rPr>
              <w:t>poskytování služeb určených přenosových linek mezi společnostmi T-Mobile Czech Republic a.s. a Telefónica Czech Republic, a.s. (dnes O2 Czech Republic a.s.) uzavřená dne 29. října 2013 (v anglickém jazyce)</w:t>
            </w:r>
          </w:p>
        </w:tc>
      </w:tr>
      <w:tr w:rsidR="00DE4CC6" w:rsidRPr="00843D00" w14:paraId="4F86DD5C" w14:textId="77777777" w:rsidTr="00044F06">
        <w:tc>
          <w:tcPr>
            <w:tcW w:w="3227" w:type="dxa"/>
          </w:tcPr>
          <w:p w14:paraId="47F5AA7B" w14:textId="77777777" w:rsidR="00DE4CC6" w:rsidRPr="00475828" w:rsidRDefault="00DE4CC6" w:rsidP="00DF4E36">
            <w:pPr>
              <w:keepLines/>
              <w:rPr>
                <w:rFonts w:cs="Arial"/>
                <w:lang w:val="cs-CZ"/>
              </w:rPr>
            </w:pPr>
            <w:r w:rsidRPr="00475828">
              <w:rPr>
                <w:rFonts w:cs="Arial"/>
                <w:lang w:val="cs-CZ"/>
              </w:rPr>
              <w:t>Smlouva o sdílení sítí 2G/3G</w:t>
            </w:r>
          </w:p>
        </w:tc>
        <w:tc>
          <w:tcPr>
            <w:tcW w:w="5321" w:type="dxa"/>
          </w:tcPr>
          <w:p w14:paraId="369A10E4" w14:textId="25A7987A" w:rsidR="00DE4CC6" w:rsidRPr="00475828" w:rsidRDefault="00DE4CC6" w:rsidP="00DF4E36">
            <w:pPr>
              <w:keepLines/>
              <w:rPr>
                <w:rFonts w:cs="Arial"/>
                <w:lang w:val="cs-CZ"/>
              </w:rPr>
            </w:pPr>
            <w:r w:rsidRPr="00475828">
              <w:rPr>
                <w:rFonts w:cs="Arial"/>
                <w:lang w:val="cs-CZ"/>
              </w:rPr>
              <w:t>Smlouva o sdílení sítí mezi společnostmi T-Mobile Czech Republic a.s. a Telefónica Czech Republic, a.s. (dnes O2 Czech Republic a.s.) uzavřená dne 29. října 2013 (v anglickém jazyce)</w:t>
            </w:r>
          </w:p>
        </w:tc>
      </w:tr>
      <w:tr w:rsidR="00DE4CC6" w:rsidRPr="00843D00" w14:paraId="057A5277" w14:textId="77777777" w:rsidTr="00044F06">
        <w:tc>
          <w:tcPr>
            <w:tcW w:w="3227" w:type="dxa"/>
          </w:tcPr>
          <w:p w14:paraId="03E6E6CC" w14:textId="77777777" w:rsidR="00DE4CC6" w:rsidRPr="00475828" w:rsidRDefault="00DE4CC6" w:rsidP="00DF4E36">
            <w:pPr>
              <w:keepLines/>
              <w:rPr>
                <w:rFonts w:cs="Arial"/>
                <w:lang w:val="cs-CZ"/>
              </w:rPr>
            </w:pPr>
            <w:r w:rsidRPr="00475828">
              <w:rPr>
                <w:rFonts w:cs="Arial"/>
                <w:lang w:val="cs-CZ"/>
              </w:rPr>
              <w:t>Smlouva o sdílení sítí 4G</w:t>
            </w:r>
          </w:p>
        </w:tc>
        <w:tc>
          <w:tcPr>
            <w:tcW w:w="5321" w:type="dxa"/>
          </w:tcPr>
          <w:p w14:paraId="4C30C174" w14:textId="477C113B" w:rsidR="00DE4CC6" w:rsidRPr="00475828" w:rsidRDefault="00DE4CC6" w:rsidP="00DF4E36">
            <w:pPr>
              <w:keepLines/>
              <w:rPr>
                <w:rFonts w:cs="Arial"/>
                <w:lang w:val="cs-CZ"/>
              </w:rPr>
            </w:pPr>
            <w:r w:rsidRPr="00475828">
              <w:rPr>
                <w:rFonts w:cs="Arial"/>
                <w:lang w:val="cs-CZ"/>
              </w:rPr>
              <w:t>Smlouva o sdílení LTE technologií pro mobilní sítě mezi společnostmi T-Mobile Czech Republic a.s. a Telefónica Czech Republic, a.s. (dnes O2 Czech Republic a.s.) uzavřená dne 2. května 2014 (v</w:t>
            </w:r>
            <w:r w:rsidR="00247FC2">
              <w:rPr>
                <w:rFonts w:cs="Arial"/>
                <w:lang w:val="cs-CZ"/>
              </w:rPr>
              <w:t> </w:t>
            </w:r>
            <w:r w:rsidRPr="00475828">
              <w:rPr>
                <w:rFonts w:cs="Arial"/>
                <w:lang w:val="cs-CZ"/>
              </w:rPr>
              <w:t>anglickém jazyce)</w:t>
            </w:r>
          </w:p>
        </w:tc>
      </w:tr>
      <w:tr w:rsidR="00DE4CC6" w:rsidRPr="00843D00" w14:paraId="0306CEDE" w14:textId="77777777" w:rsidTr="00044F06">
        <w:tc>
          <w:tcPr>
            <w:tcW w:w="3227" w:type="dxa"/>
          </w:tcPr>
          <w:p w14:paraId="40BA521B" w14:textId="77777777" w:rsidR="00DE4CC6" w:rsidRPr="00475828" w:rsidRDefault="00DE4CC6" w:rsidP="00DF4E36">
            <w:pPr>
              <w:keepLines/>
              <w:rPr>
                <w:rFonts w:cs="Arial"/>
                <w:lang w:val="cs-CZ"/>
              </w:rPr>
            </w:pPr>
            <w:r w:rsidRPr="00475828">
              <w:rPr>
                <w:rFonts w:cs="Arial"/>
                <w:lang w:val="cs-CZ"/>
              </w:rPr>
              <w:t>TMCZ</w:t>
            </w:r>
          </w:p>
        </w:tc>
        <w:tc>
          <w:tcPr>
            <w:tcW w:w="5321" w:type="dxa"/>
          </w:tcPr>
          <w:p w14:paraId="46ECBC76" w14:textId="77777777" w:rsidR="00DE4CC6" w:rsidRPr="00475828" w:rsidRDefault="00DE4CC6" w:rsidP="00DF4E36">
            <w:pPr>
              <w:keepLines/>
              <w:rPr>
                <w:rFonts w:cs="Arial"/>
                <w:lang w:val="cs-CZ"/>
              </w:rPr>
            </w:pPr>
            <w:r w:rsidRPr="00475828">
              <w:rPr>
                <w:rFonts w:cs="Arial"/>
                <w:lang w:val="cs-CZ"/>
              </w:rPr>
              <w:t>T-Mobile Czech Republic a.s., se sídlem Tomíčkova 2144/1, Chodov, 148 00 Praha 4, IČO 64949681, zapsaná v Obchodním rejstříku vedeném Městským soudem v Praze, oddíl B, vložka 3787</w:t>
            </w:r>
          </w:p>
        </w:tc>
      </w:tr>
      <w:tr w:rsidR="00DE4CC6" w:rsidRPr="00475828" w14:paraId="076B7254" w14:textId="77777777" w:rsidTr="00044F06">
        <w:tc>
          <w:tcPr>
            <w:tcW w:w="3227" w:type="dxa"/>
          </w:tcPr>
          <w:p w14:paraId="373ABF84" w14:textId="77777777" w:rsidR="00DE4CC6" w:rsidRPr="00475828" w:rsidRDefault="00DE4CC6" w:rsidP="00DF4E36">
            <w:pPr>
              <w:keepLines/>
              <w:rPr>
                <w:rFonts w:cs="Arial"/>
                <w:lang w:val="cs-CZ"/>
              </w:rPr>
            </w:pPr>
            <w:r w:rsidRPr="00475828">
              <w:rPr>
                <w:rFonts w:cs="Arial"/>
                <w:lang w:val="cs-CZ"/>
              </w:rPr>
              <w:t>ÚOHS</w:t>
            </w:r>
          </w:p>
        </w:tc>
        <w:tc>
          <w:tcPr>
            <w:tcW w:w="5321" w:type="dxa"/>
          </w:tcPr>
          <w:p w14:paraId="63D1EC84" w14:textId="77777777" w:rsidR="00DE4CC6" w:rsidRPr="00475828" w:rsidRDefault="00DE4CC6" w:rsidP="00DF4E36">
            <w:pPr>
              <w:keepLines/>
              <w:rPr>
                <w:rFonts w:cs="Arial"/>
                <w:lang w:val="cs-CZ"/>
              </w:rPr>
            </w:pPr>
            <w:r w:rsidRPr="00475828">
              <w:rPr>
                <w:rFonts w:cs="Arial"/>
                <w:lang w:val="cs-CZ"/>
              </w:rPr>
              <w:t>Úřad pro ochranu hospodářské soutěže</w:t>
            </w:r>
          </w:p>
        </w:tc>
      </w:tr>
      <w:tr w:rsidR="00DE4CC6" w:rsidRPr="00843D00" w14:paraId="368B8020" w14:textId="77777777" w:rsidTr="00044F06">
        <w:tc>
          <w:tcPr>
            <w:tcW w:w="3227" w:type="dxa"/>
          </w:tcPr>
          <w:p w14:paraId="400DA2FC" w14:textId="77777777" w:rsidR="00DE4CC6" w:rsidRPr="00475828" w:rsidRDefault="00DE4CC6" w:rsidP="00DF4E36">
            <w:pPr>
              <w:keepLines/>
              <w:rPr>
                <w:rFonts w:cs="Arial"/>
                <w:lang w:val="cs-CZ"/>
              </w:rPr>
            </w:pPr>
            <w:r w:rsidRPr="00475828">
              <w:rPr>
                <w:rFonts w:cs="Arial"/>
                <w:lang w:val="cs-CZ"/>
              </w:rPr>
              <w:t>Vodafone</w:t>
            </w:r>
          </w:p>
        </w:tc>
        <w:tc>
          <w:tcPr>
            <w:tcW w:w="5321" w:type="dxa"/>
          </w:tcPr>
          <w:p w14:paraId="6632664D" w14:textId="77777777" w:rsidR="00DE4CC6" w:rsidRPr="00475828" w:rsidRDefault="00DE4CC6" w:rsidP="00DF4E36">
            <w:pPr>
              <w:keepLines/>
              <w:rPr>
                <w:rFonts w:cs="Arial"/>
                <w:lang w:val="cs-CZ"/>
              </w:rPr>
            </w:pPr>
            <w:r w:rsidRPr="00475828">
              <w:rPr>
                <w:rFonts w:cs="Arial"/>
                <w:lang w:val="cs-CZ"/>
              </w:rPr>
              <w:t>Vodafone Czech Republic a.s., se sídlem náměstí Junkových 2808/2, Stodůlky, 155 00 Praha 5, IČO 25788001, zapsaná v Obchodním rejstříku vedeném Městským soudem v Praze, oddíl B, vložka 6064</w:t>
            </w:r>
          </w:p>
        </w:tc>
      </w:tr>
      <w:tr w:rsidR="008E06B9" w:rsidRPr="00843D00" w14:paraId="5C30CB64" w14:textId="77777777" w:rsidTr="00044F06">
        <w:tc>
          <w:tcPr>
            <w:tcW w:w="3227" w:type="dxa"/>
          </w:tcPr>
          <w:p w14:paraId="20BF1189" w14:textId="77777777" w:rsidR="008E06B9" w:rsidRPr="00475828" w:rsidRDefault="008E06B9" w:rsidP="00DF4E36">
            <w:pPr>
              <w:keepLines/>
              <w:rPr>
                <w:rFonts w:cs="Arial"/>
                <w:lang w:val="cs-CZ"/>
              </w:rPr>
            </w:pPr>
            <w:r w:rsidRPr="00475828">
              <w:rPr>
                <w:rFonts w:cs="Arial"/>
                <w:lang w:val="cs-CZ"/>
              </w:rPr>
              <w:t>Zákon</w:t>
            </w:r>
          </w:p>
        </w:tc>
        <w:tc>
          <w:tcPr>
            <w:tcW w:w="5321" w:type="dxa"/>
          </w:tcPr>
          <w:p w14:paraId="5D107A4D" w14:textId="77777777" w:rsidR="008E06B9" w:rsidRPr="00475828" w:rsidRDefault="008E06B9" w:rsidP="00DF4E36">
            <w:pPr>
              <w:keepLines/>
              <w:rPr>
                <w:rFonts w:cs="Arial"/>
                <w:lang w:val="cs-CZ"/>
              </w:rPr>
            </w:pPr>
            <w:r w:rsidRPr="00475828">
              <w:rPr>
                <w:rFonts w:cs="Arial"/>
                <w:lang w:val="cs-CZ"/>
              </w:rPr>
              <w:t>Zákon č. 127/2005 Sb. ze dne 22. února 2005 o</w:t>
            </w:r>
            <w:r w:rsidR="00247FC2">
              <w:rPr>
                <w:rFonts w:cs="Arial"/>
                <w:lang w:val="cs-CZ"/>
              </w:rPr>
              <w:t> </w:t>
            </w:r>
            <w:r w:rsidRPr="00475828">
              <w:rPr>
                <w:rFonts w:cs="Arial"/>
                <w:lang w:val="cs-CZ"/>
              </w:rPr>
              <w:t>elektronických komunikacích a o změně některých souvisejících zákonů (zákon o elektronických komunikacích)</w:t>
            </w:r>
            <w:r w:rsidR="00A82E5F">
              <w:rPr>
                <w:rFonts w:cs="Arial"/>
                <w:lang w:val="cs-CZ"/>
              </w:rPr>
              <w:t>, ve znění pozdějších předpisů.</w:t>
            </w:r>
          </w:p>
        </w:tc>
      </w:tr>
    </w:tbl>
    <w:p w14:paraId="73B4FDB2" w14:textId="09DBA5B7" w:rsidR="00267321" w:rsidRPr="007E352C" w:rsidRDefault="00267321" w:rsidP="00DF4E36">
      <w:pPr>
        <w:tabs>
          <w:tab w:val="left" w:pos="2421"/>
        </w:tabs>
        <w:rPr>
          <w:lang w:val="cs-CZ"/>
        </w:rPr>
      </w:pPr>
    </w:p>
    <w:sectPr w:rsidR="00267321" w:rsidRPr="007E352C" w:rsidSect="00B0244F">
      <w:pgSz w:w="11906" w:h="16838" w:code="9"/>
      <w:pgMar w:top="1701" w:right="1797"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44808" w14:textId="77777777" w:rsidR="00273E54" w:rsidRDefault="00273E54">
      <w:r>
        <w:separator/>
      </w:r>
    </w:p>
  </w:endnote>
  <w:endnote w:type="continuationSeparator" w:id="0">
    <w:p w14:paraId="560D49AD" w14:textId="77777777" w:rsidR="00273E54" w:rsidRDefault="0027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B5D34" w14:textId="77777777" w:rsidR="00273E54" w:rsidRDefault="00273E54">
    <w:pPr>
      <w:pStyle w:val="Zpat"/>
      <w:jc w:val="center"/>
    </w:pPr>
  </w:p>
  <w:p w14:paraId="29D37C91" w14:textId="77777777" w:rsidR="00273E54" w:rsidRDefault="00273E5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689EC" w14:textId="7DADE563" w:rsidR="00273E54" w:rsidRDefault="00273E54">
    <w:pPr>
      <w:pStyle w:val="Zpat"/>
      <w:jc w:val="center"/>
      <w:rPr>
        <w:rFonts w:cs="Arial"/>
      </w:rPr>
    </w:pPr>
    <w:r>
      <w:rPr>
        <w:rStyle w:val="slostrnky"/>
        <w:rFonts w:cs="Arial"/>
      </w:rPr>
      <w:fldChar w:fldCharType="begin"/>
    </w:r>
    <w:r>
      <w:rPr>
        <w:rStyle w:val="slostrnky"/>
        <w:rFonts w:cs="Arial"/>
      </w:rPr>
      <w:instrText xml:space="preserve"> PAGE </w:instrText>
    </w:r>
    <w:r>
      <w:rPr>
        <w:rStyle w:val="slostrnky"/>
        <w:rFonts w:cs="Arial"/>
      </w:rPr>
      <w:fldChar w:fldCharType="separate"/>
    </w:r>
    <w:r>
      <w:rPr>
        <w:rStyle w:val="slostrnky"/>
        <w:rFonts w:cs="Arial"/>
        <w:noProof/>
      </w:rPr>
      <w:t>1</w:t>
    </w:r>
    <w:r>
      <w:rPr>
        <w:rStyle w:val="slostrnky"/>
        <w:rFonts w:cs="Arial"/>
      </w:rPr>
      <w:fldChar w:fldCharType="end"/>
    </w:r>
    <w:r>
      <w:rPr>
        <w:rStyle w:val="slostrnky"/>
        <w:rFonts w:cs="Arial"/>
      </w:rPr>
      <w:t xml:space="preserve"> z </w:t>
    </w:r>
    <w:r>
      <w:rPr>
        <w:rStyle w:val="slostrnky"/>
        <w:rFonts w:cs="Arial"/>
      </w:rPr>
      <w:fldChar w:fldCharType="begin"/>
    </w:r>
    <w:r>
      <w:rPr>
        <w:rStyle w:val="slostrnky"/>
        <w:rFonts w:cs="Arial"/>
      </w:rPr>
      <w:instrText xml:space="preserve"> NUMPAGES </w:instrText>
    </w:r>
    <w:r>
      <w:rPr>
        <w:rStyle w:val="slostrnky"/>
        <w:rFonts w:cs="Arial"/>
      </w:rPr>
      <w:fldChar w:fldCharType="separate"/>
    </w:r>
    <w:r>
      <w:rPr>
        <w:rStyle w:val="slostrnky"/>
        <w:rFonts w:cs="Arial"/>
        <w:noProof/>
      </w:rPr>
      <w:t>54</w:t>
    </w:r>
    <w:r>
      <w:rPr>
        <w:rStyle w:val="slostrnky"/>
        <w:rFonts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57297"/>
      <w:docPartObj>
        <w:docPartGallery w:val="Page Numbers (Bottom of Page)"/>
        <w:docPartUnique/>
      </w:docPartObj>
    </w:sdtPr>
    <w:sdtContent>
      <w:p w14:paraId="17AA04A2" w14:textId="77777777" w:rsidR="00273E54" w:rsidRDefault="00273E54">
        <w:pPr>
          <w:pStyle w:val="Zpat"/>
          <w:jc w:val="center"/>
        </w:pPr>
        <w:r>
          <w:fldChar w:fldCharType="begin"/>
        </w:r>
        <w:r>
          <w:instrText>PAGE   \* MERGEFORMAT</w:instrText>
        </w:r>
        <w:r>
          <w:fldChar w:fldCharType="separate"/>
        </w:r>
        <w:r w:rsidR="00DF4E36" w:rsidRPr="00DF4E36">
          <w:rPr>
            <w:noProof/>
            <w:lang w:val="cs-CZ"/>
          </w:rPr>
          <w:t>54</w:t>
        </w:r>
        <w:r>
          <w:rPr>
            <w:noProof/>
            <w:lang w:val="cs-CZ"/>
          </w:rPr>
          <w:fldChar w:fldCharType="end"/>
        </w:r>
      </w:p>
    </w:sdtContent>
  </w:sdt>
  <w:p w14:paraId="708075F8" w14:textId="77777777" w:rsidR="00273E54" w:rsidRDefault="00273E5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B6167" w14:textId="77777777" w:rsidR="00273E54" w:rsidRDefault="00273E54">
      <w:r>
        <w:separator/>
      </w:r>
    </w:p>
  </w:footnote>
  <w:footnote w:type="continuationSeparator" w:id="0">
    <w:p w14:paraId="2CC40FAD" w14:textId="77777777" w:rsidR="00273E54" w:rsidRDefault="00273E54">
      <w:r>
        <w:continuationSeparator/>
      </w:r>
    </w:p>
  </w:footnote>
  <w:footnote w:id="1">
    <w:p w14:paraId="0E84F7ED" w14:textId="77777777" w:rsidR="00273E54" w:rsidRPr="005B6DAB" w:rsidRDefault="00273E54" w:rsidP="00946BA5">
      <w:pPr>
        <w:pStyle w:val="Textpoznpodarou"/>
        <w:spacing w:before="0" w:after="0" w:line="276" w:lineRule="auto"/>
        <w:jc w:val="left"/>
        <w:rPr>
          <w:rFonts w:cs="Arial"/>
          <w:sz w:val="16"/>
          <w:szCs w:val="16"/>
          <w:lang w:val="cs-CZ"/>
        </w:rPr>
      </w:pPr>
      <w:r w:rsidRPr="005B6DAB">
        <w:rPr>
          <w:rStyle w:val="Znakapoznpodarou"/>
          <w:rFonts w:cs="Arial"/>
          <w:sz w:val="16"/>
          <w:szCs w:val="16"/>
          <w:lang w:val="cs-CZ"/>
        </w:rPr>
        <w:footnoteRef/>
      </w:r>
      <w:r w:rsidRPr="005B6DAB">
        <w:rPr>
          <w:rFonts w:cs="Arial"/>
          <w:sz w:val="16"/>
          <w:szCs w:val="16"/>
          <w:lang w:val="cs-CZ"/>
        </w:rPr>
        <w:t xml:space="preserve"> OECD (2014), “</w:t>
      </w:r>
      <w:proofErr w:type="spellStart"/>
      <w:r w:rsidRPr="005B6DAB">
        <w:rPr>
          <w:rFonts w:cs="Arial"/>
          <w:sz w:val="16"/>
          <w:szCs w:val="16"/>
          <w:lang w:val="cs-CZ"/>
        </w:rPr>
        <w:t>Wireless</w:t>
      </w:r>
      <w:proofErr w:type="spellEnd"/>
      <w:r w:rsidRPr="005B6DAB">
        <w:rPr>
          <w:rFonts w:cs="Arial"/>
          <w:sz w:val="16"/>
          <w:szCs w:val="16"/>
          <w:lang w:val="cs-CZ"/>
        </w:rPr>
        <w:t xml:space="preserve"> Market </w:t>
      </w:r>
      <w:proofErr w:type="spellStart"/>
      <w:r w:rsidRPr="005B6DAB">
        <w:rPr>
          <w:rFonts w:cs="Arial"/>
          <w:sz w:val="16"/>
          <w:szCs w:val="16"/>
          <w:lang w:val="cs-CZ"/>
        </w:rPr>
        <w:t>Structures</w:t>
      </w:r>
      <w:proofErr w:type="spellEnd"/>
      <w:r w:rsidRPr="005B6DAB">
        <w:rPr>
          <w:rFonts w:cs="Arial"/>
          <w:sz w:val="16"/>
          <w:szCs w:val="16"/>
          <w:lang w:val="cs-CZ"/>
        </w:rPr>
        <w:t xml:space="preserve"> and Network </w:t>
      </w:r>
      <w:proofErr w:type="spellStart"/>
      <w:r w:rsidRPr="005B6DAB">
        <w:rPr>
          <w:rFonts w:cs="Arial"/>
          <w:sz w:val="16"/>
          <w:szCs w:val="16"/>
          <w:lang w:val="cs-CZ"/>
        </w:rPr>
        <w:t>Sharing</w:t>
      </w:r>
      <w:proofErr w:type="spellEnd"/>
      <w:r w:rsidRPr="005B6DAB">
        <w:rPr>
          <w:rFonts w:cs="Arial"/>
          <w:sz w:val="16"/>
          <w:szCs w:val="16"/>
          <w:lang w:val="cs-CZ"/>
        </w:rPr>
        <w:t xml:space="preserve">”, OECD Digital </w:t>
      </w:r>
      <w:proofErr w:type="spellStart"/>
      <w:r w:rsidRPr="005B6DAB">
        <w:rPr>
          <w:rFonts w:cs="Arial"/>
          <w:sz w:val="16"/>
          <w:szCs w:val="16"/>
          <w:lang w:val="cs-CZ"/>
        </w:rPr>
        <w:t>Economy</w:t>
      </w:r>
      <w:proofErr w:type="spellEnd"/>
      <w:r w:rsidRPr="005B6DAB">
        <w:rPr>
          <w:rFonts w:cs="Arial"/>
          <w:sz w:val="16"/>
          <w:szCs w:val="16"/>
          <w:lang w:val="cs-CZ"/>
        </w:rPr>
        <w:t xml:space="preserve"> </w:t>
      </w:r>
      <w:proofErr w:type="spellStart"/>
      <w:r w:rsidRPr="005B6DAB">
        <w:rPr>
          <w:rFonts w:cs="Arial"/>
          <w:sz w:val="16"/>
          <w:szCs w:val="16"/>
          <w:lang w:val="cs-CZ"/>
        </w:rPr>
        <w:t>Papers</w:t>
      </w:r>
      <w:proofErr w:type="spellEnd"/>
      <w:r w:rsidRPr="005B6DAB">
        <w:rPr>
          <w:rFonts w:cs="Arial"/>
          <w:sz w:val="16"/>
          <w:szCs w:val="16"/>
          <w:lang w:val="cs-CZ"/>
        </w:rPr>
        <w:t xml:space="preserve">, No. 243, OECD </w:t>
      </w:r>
      <w:proofErr w:type="spellStart"/>
      <w:r w:rsidRPr="005B6DAB">
        <w:rPr>
          <w:rFonts w:cs="Arial"/>
          <w:sz w:val="16"/>
          <w:szCs w:val="16"/>
          <w:lang w:val="cs-CZ"/>
        </w:rPr>
        <w:t>Publishing</w:t>
      </w:r>
      <w:proofErr w:type="spellEnd"/>
      <w:r w:rsidRPr="005B6DAB">
        <w:rPr>
          <w:rFonts w:cs="Arial"/>
          <w:sz w:val="16"/>
          <w:szCs w:val="16"/>
          <w:lang w:val="cs-CZ"/>
        </w:rPr>
        <w:t xml:space="preserve">. </w:t>
      </w:r>
      <w:r w:rsidRPr="00946BA5">
        <w:rPr>
          <w:rFonts w:cs="Arial"/>
          <w:sz w:val="16"/>
          <w:szCs w:val="16"/>
          <w:lang w:val="cs-CZ"/>
        </w:rPr>
        <w:t>http://dx.doi.org/10.1787/5jxt46dzl9r2-en</w:t>
      </w:r>
      <w:r>
        <w:rPr>
          <w:rFonts w:cs="Arial"/>
          <w:sz w:val="16"/>
          <w:szCs w:val="16"/>
          <w:lang w:val="cs-CZ"/>
        </w:rPr>
        <w:t>.</w:t>
      </w:r>
    </w:p>
  </w:footnote>
  <w:footnote w:id="2">
    <w:p w14:paraId="1E27FCEA" w14:textId="77777777" w:rsidR="00273E54" w:rsidRPr="005B6DAB" w:rsidRDefault="00273E54" w:rsidP="00946BA5">
      <w:pPr>
        <w:pStyle w:val="Textpoznpodarou"/>
        <w:spacing w:before="0" w:after="0" w:line="276" w:lineRule="auto"/>
        <w:jc w:val="left"/>
        <w:rPr>
          <w:rFonts w:cs="Arial"/>
          <w:sz w:val="16"/>
          <w:szCs w:val="16"/>
          <w:lang w:val="cs-CZ"/>
        </w:rPr>
      </w:pPr>
      <w:r w:rsidRPr="005B6DAB">
        <w:rPr>
          <w:rStyle w:val="Znakapoznpodarou"/>
          <w:rFonts w:cs="Arial"/>
          <w:sz w:val="16"/>
          <w:szCs w:val="16"/>
          <w:lang w:val="cs-CZ"/>
        </w:rPr>
        <w:footnoteRef/>
      </w:r>
      <w:r w:rsidRPr="005B6DAB">
        <w:rPr>
          <w:rFonts w:cs="Arial"/>
          <w:sz w:val="16"/>
          <w:szCs w:val="16"/>
          <w:lang w:val="cs-CZ"/>
        </w:rPr>
        <w:t xml:space="preserve"> “</w:t>
      </w:r>
      <w:r w:rsidRPr="005B6DAB">
        <w:rPr>
          <w:rFonts w:cs="Arial"/>
          <w:i/>
          <w:sz w:val="16"/>
          <w:szCs w:val="16"/>
          <w:lang w:val="cs-CZ"/>
        </w:rPr>
        <w:t xml:space="preserve">A </w:t>
      </w:r>
      <w:proofErr w:type="spellStart"/>
      <w:r w:rsidRPr="005B6DAB">
        <w:rPr>
          <w:rFonts w:cs="Arial"/>
          <w:i/>
          <w:sz w:val="16"/>
          <w:szCs w:val="16"/>
          <w:lang w:val="cs-CZ"/>
        </w:rPr>
        <w:t>particular</w:t>
      </w:r>
      <w:proofErr w:type="spellEnd"/>
      <w:r w:rsidRPr="005B6DAB">
        <w:rPr>
          <w:rFonts w:cs="Arial"/>
          <w:i/>
          <w:sz w:val="16"/>
          <w:szCs w:val="16"/>
          <w:lang w:val="cs-CZ"/>
        </w:rPr>
        <w:t xml:space="preserve"> </w:t>
      </w:r>
      <w:proofErr w:type="spellStart"/>
      <w:r w:rsidRPr="005B6DAB">
        <w:rPr>
          <w:rFonts w:cs="Arial"/>
          <w:i/>
          <w:sz w:val="16"/>
          <w:szCs w:val="16"/>
          <w:lang w:val="cs-CZ"/>
        </w:rPr>
        <w:t>problem</w:t>
      </w:r>
      <w:proofErr w:type="spellEnd"/>
      <w:r w:rsidRPr="005B6DAB">
        <w:rPr>
          <w:rFonts w:cs="Arial"/>
          <w:i/>
          <w:sz w:val="16"/>
          <w:szCs w:val="16"/>
          <w:lang w:val="cs-CZ"/>
        </w:rPr>
        <w:t xml:space="preserve">, </w:t>
      </w:r>
      <w:proofErr w:type="spellStart"/>
      <w:r w:rsidRPr="005B6DAB">
        <w:rPr>
          <w:rFonts w:cs="Arial"/>
          <w:i/>
          <w:sz w:val="16"/>
          <w:szCs w:val="16"/>
          <w:lang w:val="cs-CZ"/>
        </w:rPr>
        <w:t>however</w:t>
      </w:r>
      <w:proofErr w:type="spellEnd"/>
      <w:r w:rsidRPr="005B6DAB">
        <w:rPr>
          <w:rFonts w:cs="Arial"/>
          <w:i/>
          <w:sz w:val="16"/>
          <w:szCs w:val="16"/>
          <w:lang w:val="cs-CZ"/>
        </w:rPr>
        <w:t xml:space="preserve">, </w:t>
      </w:r>
      <w:proofErr w:type="spellStart"/>
      <w:r w:rsidRPr="005B6DAB">
        <w:rPr>
          <w:rFonts w:cs="Arial"/>
          <w:i/>
          <w:sz w:val="16"/>
          <w:szCs w:val="16"/>
          <w:lang w:val="cs-CZ"/>
        </w:rPr>
        <w:t>occurs</w:t>
      </w:r>
      <w:proofErr w:type="spellEnd"/>
      <w:r w:rsidRPr="005B6DAB">
        <w:rPr>
          <w:rFonts w:cs="Arial"/>
          <w:i/>
          <w:sz w:val="16"/>
          <w:szCs w:val="16"/>
          <w:lang w:val="cs-CZ"/>
        </w:rPr>
        <w:t xml:space="preserve"> in </w:t>
      </w:r>
      <w:proofErr w:type="spellStart"/>
      <w:r w:rsidRPr="005B6DAB">
        <w:rPr>
          <w:rFonts w:cs="Arial"/>
          <w:i/>
          <w:sz w:val="16"/>
          <w:szCs w:val="16"/>
          <w:lang w:val="cs-CZ"/>
        </w:rPr>
        <w:t>three-player</w:t>
      </w:r>
      <w:proofErr w:type="spellEnd"/>
      <w:r w:rsidRPr="005B6DAB">
        <w:rPr>
          <w:rFonts w:cs="Arial"/>
          <w:i/>
          <w:sz w:val="16"/>
          <w:szCs w:val="16"/>
          <w:lang w:val="cs-CZ"/>
        </w:rPr>
        <w:t xml:space="preserve"> </w:t>
      </w:r>
      <w:proofErr w:type="spellStart"/>
      <w:r w:rsidRPr="005B6DAB">
        <w:rPr>
          <w:rFonts w:cs="Arial"/>
          <w:i/>
          <w:sz w:val="16"/>
          <w:szCs w:val="16"/>
          <w:lang w:val="cs-CZ"/>
        </w:rPr>
        <w:t>markets</w:t>
      </w:r>
      <w:proofErr w:type="spellEnd"/>
      <w:r w:rsidRPr="005B6DAB">
        <w:rPr>
          <w:rFonts w:cs="Arial"/>
          <w:i/>
          <w:sz w:val="16"/>
          <w:szCs w:val="16"/>
          <w:lang w:val="cs-CZ"/>
        </w:rPr>
        <w:t xml:space="preserve">. </w:t>
      </w:r>
      <w:proofErr w:type="spellStart"/>
      <w:r w:rsidRPr="005B6DAB">
        <w:rPr>
          <w:rFonts w:cs="Arial"/>
          <w:i/>
          <w:sz w:val="16"/>
          <w:szCs w:val="16"/>
          <w:lang w:val="cs-CZ"/>
        </w:rPr>
        <w:t>The</w:t>
      </w:r>
      <w:proofErr w:type="spellEnd"/>
      <w:r w:rsidRPr="005B6DAB">
        <w:rPr>
          <w:rFonts w:cs="Arial"/>
          <w:i/>
          <w:sz w:val="16"/>
          <w:szCs w:val="16"/>
          <w:lang w:val="cs-CZ"/>
        </w:rPr>
        <w:t xml:space="preserve"> </w:t>
      </w:r>
      <w:proofErr w:type="spellStart"/>
      <w:r w:rsidRPr="005B6DAB">
        <w:rPr>
          <w:rFonts w:cs="Arial"/>
          <w:i/>
          <w:sz w:val="16"/>
          <w:szCs w:val="16"/>
          <w:lang w:val="cs-CZ"/>
        </w:rPr>
        <w:t>competitive</w:t>
      </w:r>
      <w:proofErr w:type="spellEnd"/>
      <w:r w:rsidRPr="005B6DAB">
        <w:rPr>
          <w:rFonts w:cs="Arial"/>
          <w:i/>
          <w:sz w:val="16"/>
          <w:szCs w:val="16"/>
          <w:lang w:val="cs-CZ"/>
        </w:rPr>
        <w:t xml:space="preserve"> </w:t>
      </w:r>
      <w:proofErr w:type="spellStart"/>
      <w:r w:rsidRPr="005B6DAB">
        <w:rPr>
          <w:rFonts w:cs="Arial"/>
          <w:i/>
          <w:sz w:val="16"/>
          <w:szCs w:val="16"/>
          <w:lang w:val="cs-CZ"/>
        </w:rPr>
        <w:t>conditions</w:t>
      </w:r>
      <w:proofErr w:type="spellEnd"/>
      <w:r w:rsidRPr="005B6DAB">
        <w:rPr>
          <w:rFonts w:cs="Arial"/>
          <w:i/>
          <w:sz w:val="16"/>
          <w:szCs w:val="16"/>
          <w:lang w:val="cs-CZ"/>
        </w:rPr>
        <w:t xml:space="preserve"> in a </w:t>
      </w:r>
      <w:proofErr w:type="spellStart"/>
      <w:r w:rsidRPr="005B6DAB">
        <w:rPr>
          <w:rFonts w:cs="Arial"/>
          <w:i/>
          <w:sz w:val="16"/>
          <w:szCs w:val="16"/>
          <w:lang w:val="cs-CZ"/>
        </w:rPr>
        <w:t>three-player</w:t>
      </w:r>
      <w:proofErr w:type="spellEnd"/>
      <w:r w:rsidRPr="005B6DAB">
        <w:rPr>
          <w:rFonts w:cs="Arial"/>
          <w:i/>
          <w:sz w:val="16"/>
          <w:szCs w:val="16"/>
          <w:lang w:val="cs-CZ"/>
        </w:rPr>
        <w:t xml:space="preserve"> market are </w:t>
      </w:r>
      <w:proofErr w:type="spellStart"/>
      <w:r w:rsidRPr="005B6DAB">
        <w:rPr>
          <w:rFonts w:cs="Arial"/>
          <w:i/>
          <w:sz w:val="16"/>
          <w:szCs w:val="16"/>
          <w:lang w:val="cs-CZ"/>
        </w:rPr>
        <w:t>likely</w:t>
      </w:r>
      <w:proofErr w:type="spellEnd"/>
      <w:r w:rsidRPr="005B6DAB">
        <w:rPr>
          <w:rFonts w:cs="Arial"/>
          <w:i/>
          <w:sz w:val="16"/>
          <w:szCs w:val="16"/>
          <w:lang w:val="cs-CZ"/>
        </w:rPr>
        <w:t xml:space="preserve"> to </w:t>
      </w:r>
      <w:proofErr w:type="spellStart"/>
      <w:r w:rsidRPr="005B6DAB">
        <w:rPr>
          <w:rFonts w:cs="Arial"/>
          <w:i/>
          <w:sz w:val="16"/>
          <w:szCs w:val="16"/>
          <w:lang w:val="cs-CZ"/>
        </w:rPr>
        <w:t>be</w:t>
      </w:r>
      <w:proofErr w:type="spellEnd"/>
      <w:r w:rsidRPr="005B6DAB">
        <w:rPr>
          <w:rFonts w:cs="Arial"/>
          <w:i/>
          <w:sz w:val="16"/>
          <w:szCs w:val="16"/>
          <w:lang w:val="cs-CZ"/>
        </w:rPr>
        <w:t xml:space="preserve"> such </w:t>
      </w:r>
      <w:proofErr w:type="spellStart"/>
      <w:r w:rsidRPr="005B6DAB">
        <w:rPr>
          <w:rFonts w:cs="Arial"/>
          <w:i/>
          <w:sz w:val="16"/>
          <w:szCs w:val="16"/>
          <w:lang w:val="cs-CZ"/>
        </w:rPr>
        <w:t>that</w:t>
      </w:r>
      <w:proofErr w:type="spellEnd"/>
      <w:r w:rsidRPr="005B6DAB">
        <w:rPr>
          <w:rFonts w:cs="Arial"/>
          <w:i/>
          <w:sz w:val="16"/>
          <w:szCs w:val="16"/>
          <w:lang w:val="cs-CZ"/>
        </w:rPr>
        <w:t xml:space="preserve"> </w:t>
      </w:r>
      <w:proofErr w:type="spellStart"/>
      <w:r w:rsidRPr="005B6DAB">
        <w:rPr>
          <w:rFonts w:cs="Arial"/>
          <w:i/>
          <w:sz w:val="16"/>
          <w:szCs w:val="16"/>
          <w:lang w:val="cs-CZ"/>
        </w:rPr>
        <w:t>less</w:t>
      </w:r>
      <w:proofErr w:type="spellEnd"/>
      <w:r w:rsidRPr="005B6DAB">
        <w:rPr>
          <w:rFonts w:cs="Arial"/>
          <w:i/>
          <w:sz w:val="16"/>
          <w:szCs w:val="16"/>
          <w:lang w:val="cs-CZ"/>
        </w:rPr>
        <w:t xml:space="preserve"> </w:t>
      </w:r>
      <w:proofErr w:type="spellStart"/>
      <w:r w:rsidRPr="005B6DAB">
        <w:rPr>
          <w:rFonts w:cs="Arial"/>
          <w:i/>
          <w:sz w:val="16"/>
          <w:szCs w:val="16"/>
          <w:lang w:val="cs-CZ"/>
        </w:rPr>
        <w:t>of</w:t>
      </w:r>
      <w:proofErr w:type="spellEnd"/>
      <w:r w:rsidRPr="005B6DAB">
        <w:rPr>
          <w:rFonts w:cs="Arial"/>
          <w:i/>
          <w:sz w:val="16"/>
          <w:szCs w:val="16"/>
          <w:lang w:val="cs-CZ"/>
        </w:rPr>
        <w:t xml:space="preserve"> </w:t>
      </w:r>
      <w:proofErr w:type="spellStart"/>
      <w:r w:rsidRPr="005B6DAB">
        <w:rPr>
          <w:rFonts w:cs="Arial"/>
          <w:i/>
          <w:sz w:val="16"/>
          <w:szCs w:val="16"/>
          <w:lang w:val="cs-CZ"/>
        </w:rPr>
        <w:t>the</w:t>
      </w:r>
      <w:proofErr w:type="spellEnd"/>
      <w:r w:rsidRPr="005B6DAB">
        <w:rPr>
          <w:rFonts w:cs="Arial"/>
          <w:i/>
          <w:sz w:val="16"/>
          <w:szCs w:val="16"/>
          <w:lang w:val="cs-CZ"/>
        </w:rPr>
        <w:t xml:space="preserve"> </w:t>
      </w:r>
      <w:proofErr w:type="spellStart"/>
      <w:r w:rsidRPr="005B6DAB">
        <w:rPr>
          <w:rFonts w:cs="Arial"/>
          <w:i/>
          <w:sz w:val="16"/>
          <w:szCs w:val="16"/>
          <w:lang w:val="cs-CZ"/>
        </w:rPr>
        <w:t>cost</w:t>
      </w:r>
      <w:proofErr w:type="spellEnd"/>
      <w:r w:rsidRPr="005B6DAB">
        <w:rPr>
          <w:rFonts w:cs="Arial"/>
          <w:i/>
          <w:sz w:val="16"/>
          <w:szCs w:val="16"/>
          <w:lang w:val="cs-CZ"/>
        </w:rPr>
        <w:t xml:space="preserve"> </w:t>
      </w:r>
      <w:proofErr w:type="spellStart"/>
      <w:r w:rsidRPr="005B6DAB">
        <w:rPr>
          <w:rFonts w:cs="Arial"/>
          <w:i/>
          <w:sz w:val="16"/>
          <w:szCs w:val="16"/>
          <w:lang w:val="cs-CZ"/>
        </w:rPr>
        <w:t>savings</w:t>
      </w:r>
      <w:proofErr w:type="spellEnd"/>
      <w:r w:rsidRPr="005B6DAB">
        <w:rPr>
          <w:rFonts w:cs="Arial"/>
          <w:i/>
          <w:sz w:val="16"/>
          <w:szCs w:val="16"/>
          <w:lang w:val="cs-CZ"/>
        </w:rPr>
        <w:t xml:space="preserve"> are </w:t>
      </w:r>
      <w:proofErr w:type="spellStart"/>
      <w:r w:rsidRPr="005B6DAB">
        <w:rPr>
          <w:rFonts w:cs="Arial"/>
          <w:i/>
          <w:sz w:val="16"/>
          <w:szCs w:val="16"/>
          <w:lang w:val="cs-CZ"/>
        </w:rPr>
        <w:t>competed</w:t>
      </w:r>
      <w:proofErr w:type="spellEnd"/>
      <w:r w:rsidRPr="005B6DAB">
        <w:rPr>
          <w:rFonts w:cs="Arial"/>
          <w:i/>
          <w:sz w:val="16"/>
          <w:szCs w:val="16"/>
          <w:lang w:val="cs-CZ"/>
        </w:rPr>
        <w:t xml:space="preserve"> </w:t>
      </w:r>
      <w:proofErr w:type="spellStart"/>
      <w:r w:rsidRPr="005B6DAB">
        <w:rPr>
          <w:rFonts w:cs="Arial"/>
          <w:i/>
          <w:sz w:val="16"/>
          <w:szCs w:val="16"/>
          <w:lang w:val="cs-CZ"/>
        </w:rPr>
        <w:t>away</w:t>
      </w:r>
      <w:proofErr w:type="spellEnd"/>
      <w:r w:rsidRPr="005B6DAB">
        <w:rPr>
          <w:rFonts w:cs="Arial"/>
          <w:i/>
          <w:sz w:val="16"/>
          <w:szCs w:val="16"/>
          <w:lang w:val="cs-CZ"/>
        </w:rPr>
        <w:t xml:space="preserve"> to </w:t>
      </w:r>
      <w:proofErr w:type="spellStart"/>
      <w:r w:rsidRPr="005B6DAB">
        <w:rPr>
          <w:rFonts w:cs="Arial"/>
          <w:i/>
          <w:sz w:val="16"/>
          <w:szCs w:val="16"/>
          <w:lang w:val="cs-CZ"/>
        </w:rPr>
        <w:t>the</w:t>
      </w:r>
      <w:proofErr w:type="spellEnd"/>
      <w:r w:rsidRPr="005B6DAB">
        <w:rPr>
          <w:rFonts w:cs="Arial"/>
          <w:i/>
          <w:sz w:val="16"/>
          <w:szCs w:val="16"/>
          <w:lang w:val="cs-CZ"/>
        </w:rPr>
        <w:t xml:space="preserve"> benefit </w:t>
      </w:r>
      <w:proofErr w:type="spellStart"/>
      <w:r w:rsidRPr="005B6DAB">
        <w:rPr>
          <w:rFonts w:cs="Arial"/>
          <w:i/>
          <w:sz w:val="16"/>
          <w:szCs w:val="16"/>
          <w:lang w:val="cs-CZ"/>
        </w:rPr>
        <w:t>of</w:t>
      </w:r>
      <w:proofErr w:type="spellEnd"/>
      <w:r w:rsidRPr="005B6DAB">
        <w:rPr>
          <w:rFonts w:cs="Arial"/>
          <w:i/>
          <w:sz w:val="16"/>
          <w:szCs w:val="16"/>
          <w:lang w:val="cs-CZ"/>
        </w:rPr>
        <w:t xml:space="preserve"> </w:t>
      </w:r>
      <w:proofErr w:type="spellStart"/>
      <w:r w:rsidRPr="005B6DAB">
        <w:rPr>
          <w:rFonts w:cs="Arial"/>
          <w:i/>
          <w:sz w:val="16"/>
          <w:szCs w:val="16"/>
          <w:lang w:val="cs-CZ"/>
        </w:rPr>
        <w:t>the</w:t>
      </w:r>
      <w:proofErr w:type="spellEnd"/>
      <w:r w:rsidRPr="005B6DAB">
        <w:rPr>
          <w:rFonts w:cs="Arial"/>
          <w:i/>
          <w:sz w:val="16"/>
          <w:szCs w:val="16"/>
          <w:lang w:val="cs-CZ"/>
        </w:rPr>
        <w:t xml:space="preserve"> </w:t>
      </w:r>
      <w:proofErr w:type="spellStart"/>
      <w:r w:rsidRPr="005B6DAB">
        <w:rPr>
          <w:rFonts w:cs="Arial"/>
          <w:i/>
          <w:sz w:val="16"/>
          <w:szCs w:val="16"/>
          <w:lang w:val="cs-CZ"/>
        </w:rPr>
        <w:t>consumer</w:t>
      </w:r>
      <w:proofErr w:type="spellEnd"/>
      <w:r w:rsidRPr="005B6DAB">
        <w:rPr>
          <w:rFonts w:cs="Arial"/>
          <w:i/>
          <w:sz w:val="16"/>
          <w:szCs w:val="16"/>
          <w:lang w:val="cs-CZ"/>
        </w:rPr>
        <w:t xml:space="preserve"> </w:t>
      </w:r>
      <w:proofErr w:type="spellStart"/>
      <w:r w:rsidRPr="005B6DAB">
        <w:rPr>
          <w:rFonts w:cs="Arial"/>
          <w:i/>
          <w:sz w:val="16"/>
          <w:szCs w:val="16"/>
          <w:lang w:val="cs-CZ"/>
        </w:rPr>
        <w:t>than</w:t>
      </w:r>
      <w:proofErr w:type="spellEnd"/>
      <w:r w:rsidRPr="005B6DAB">
        <w:rPr>
          <w:rFonts w:cs="Arial"/>
          <w:i/>
          <w:sz w:val="16"/>
          <w:szCs w:val="16"/>
          <w:lang w:val="cs-CZ"/>
        </w:rPr>
        <w:t xml:space="preserve"> in a market </w:t>
      </w:r>
      <w:proofErr w:type="spellStart"/>
      <w:r w:rsidRPr="005B6DAB">
        <w:rPr>
          <w:rFonts w:cs="Arial"/>
          <w:i/>
          <w:sz w:val="16"/>
          <w:szCs w:val="16"/>
          <w:lang w:val="cs-CZ"/>
        </w:rPr>
        <w:t>with</w:t>
      </w:r>
      <w:proofErr w:type="spellEnd"/>
      <w:r w:rsidRPr="005B6DAB">
        <w:rPr>
          <w:rFonts w:cs="Arial"/>
          <w:i/>
          <w:sz w:val="16"/>
          <w:szCs w:val="16"/>
          <w:lang w:val="cs-CZ"/>
        </w:rPr>
        <w:t xml:space="preserve"> </w:t>
      </w:r>
      <w:proofErr w:type="spellStart"/>
      <w:r w:rsidRPr="005B6DAB">
        <w:rPr>
          <w:rFonts w:cs="Arial"/>
          <w:i/>
          <w:sz w:val="16"/>
          <w:szCs w:val="16"/>
          <w:lang w:val="cs-CZ"/>
        </w:rPr>
        <w:t>four</w:t>
      </w:r>
      <w:proofErr w:type="spellEnd"/>
      <w:r w:rsidRPr="005B6DAB">
        <w:rPr>
          <w:rFonts w:cs="Arial"/>
          <w:i/>
          <w:sz w:val="16"/>
          <w:szCs w:val="16"/>
          <w:lang w:val="cs-CZ"/>
        </w:rPr>
        <w:t xml:space="preserve"> </w:t>
      </w:r>
      <w:proofErr w:type="spellStart"/>
      <w:r w:rsidRPr="005B6DAB">
        <w:rPr>
          <w:rFonts w:cs="Arial"/>
          <w:i/>
          <w:sz w:val="16"/>
          <w:szCs w:val="16"/>
          <w:lang w:val="cs-CZ"/>
        </w:rPr>
        <w:t>or</w:t>
      </w:r>
      <w:proofErr w:type="spellEnd"/>
      <w:r w:rsidRPr="005B6DAB">
        <w:rPr>
          <w:rFonts w:cs="Arial"/>
          <w:i/>
          <w:sz w:val="16"/>
          <w:szCs w:val="16"/>
          <w:lang w:val="cs-CZ"/>
        </w:rPr>
        <w:t xml:space="preserve"> more </w:t>
      </w:r>
      <w:proofErr w:type="spellStart"/>
      <w:r w:rsidRPr="005B6DAB">
        <w:rPr>
          <w:rFonts w:cs="Arial"/>
          <w:i/>
          <w:sz w:val="16"/>
          <w:szCs w:val="16"/>
          <w:lang w:val="cs-CZ"/>
        </w:rPr>
        <w:t>national</w:t>
      </w:r>
      <w:proofErr w:type="spellEnd"/>
      <w:r w:rsidRPr="005B6DAB">
        <w:rPr>
          <w:rFonts w:cs="Arial"/>
          <w:i/>
          <w:sz w:val="16"/>
          <w:szCs w:val="16"/>
          <w:lang w:val="cs-CZ"/>
        </w:rPr>
        <w:t xml:space="preserve"> </w:t>
      </w:r>
      <w:proofErr w:type="spellStart"/>
      <w:r w:rsidRPr="005B6DAB">
        <w:rPr>
          <w:rFonts w:cs="Arial"/>
          <w:i/>
          <w:sz w:val="16"/>
          <w:szCs w:val="16"/>
          <w:lang w:val="cs-CZ"/>
        </w:rPr>
        <w:t>wholesale</w:t>
      </w:r>
      <w:proofErr w:type="spellEnd"/>
      <w:r w:rsidRPr="005B6DAB">
        <w:rPr>
          <w:rFonts w:cs="Arial"/>
          <w:i/>
          <w:sz w:val="16"/>
          <w:szCs w:val="16"/>
          <w:lang w:val="cs-CZ"/>
        </w:rPr>
        <w:t xml:space="preserve"> </w:t>
      </w:r>
      <w:proofErr w:type="spellStart"/>
      <w:r w:rsidRPr="005B6DAB">
        <w:rPr>
          <w:rFonts w:cs="Arial"/>
          <w:i/>
          <w:sz w:val="16"/>
          <w:szCs w:val="16"/>
          <w:lang w:val="cs-CZ"/>
        </w:rPr>
        <w:t>operators</w:t>
      </w:r>
      <w:proofErr w:type="spellEnd"/>
      <w:r w:rsidRPr="005B6DAB">
        <w:rPr>
          <w:rFonts w:cs="Arial"/>
          <w:i/>
          <w:sz w:val="16"/>
          <w:szCs w:val="16"/>
          <w:lang w:val="cs-CZ"/>
        </w:rPr>
        <w:t xml:space="preserve">, and </w:t>
      </w:r>
      <w:proofErr w:type="spellStart"/>
      <w:r w:rsidRPr="005B6DAB">
        <w:rPr>
          <w:rFonts w:cs="Arial"/>
          <w:i/>
          <w:sz w:val="16"/>
          <w:szCs w:val="16"/>
          <w:lang w:val="cs-CZ"/>
        </w:rPr>
        <w:t>seeking</w:t>
      </w:r>
      <w:proofErr w:type="spellEnd"/>
      <w:r w:rsidRPr="005B6DAB">
        <w:rPr>
          <w:rFonts w:cs="Arial"/>
          <w:i/>
          <w:sz w:val="16"/>
          <w:szCs w:val="16"/>
          <w:lang w:val="cs-CZ"/>
        </w:rPr>
        <w:t xml:space="preserve"> to </w:t>
      </w:r>
      <w:proofErr w:type="spellStart"/>
      <w:r w:rsidRPr="005B6DAB">
        <w:rPr>
          <w:rFonts w:cs="Arial"/>
          <w:i/>
          <w:sz w:val="16"/>
          <w:szCs w:val="16"/>
          <w:lang w:val="cs-CZ"/>
        </w:rPr>
        <w:t>create</w:t>
      </w:r>
      <w:proofErr w:type="spellEnd"/>
      <w:r w:rsidRPr="005B6DAB">
        <w:rPr>
          <w:rFonts w:cs="Arial"/>
          <w:i/>
          <w:sz w:val="16"/>
          <w:szCs w:val="16"/>
          <w:lang w:val="cs-CZ"/>
        </w:rPr>
        <w:t xml:space="preserve"> </w:t>
      </w:r>
      <w:proofErr w:type="spellStart"/>
      <w:r w:rsidRPr="005B6DAB">
        <w:rPr>
          <w:rFonts w:cs="Arial"/>
          <w:i/>
          <w:sz w:val="16"/>
          <w:szCs w:val="16"/>
          <w:lang w:val="cs-CZ"/>
        </w:rPr>
        <w:t>symmetry</w:t>
      </w:r>
      <w:proofErr w:type="spellEnd"/>
      <w:r w:rsidRPr="005B6DAB">
        <w:rPr>
          <w:rFonts w:cs="Arial"/>
          <w:i/>
          <w:sz w:val="16"/>
          <w:szCs w:val="16"/>
          <w:lang w:val="cs-CZ"/>
        </w:rPr>
        <w:t xml:space="preserve"> to offset </w:t>
      </w:r>
      <w:proofErr w:type="spellStart"/>
      <w:r w:rsidRPr="005B6DAB">
        <w:rPr>
          <w:rFonts w:cs="Arial"/>
          <w:i/>
          <w:sz w:val="16"/>
          <w:szCs w:val="16"/>
          <w:lang w:val="cs-CZ"/>
        </w:rPr>
        <w:t>the</w:t>
      </w:r>
      <w:proofErr w:type="spellEnd"/>
      <w:r w:rsidRPr="005B6DAB">
        <w:rPr>
          <w:rFonts w:cs="Arial"/>
          <w:i/>
          <w:sz w:val="16"/>
          <w:szCs w:val="16"/>
          <w:lang w:val="cs-CZ"/>
        </w:rPr>
        <w:t xml:space="preserve"> </w:t>
      </w:r>
      <w:proofErr w:type="spellStart"/>
      <w:r w:rsidRPr="005B6DAB">
        <w:rPr>
          <w:rFonts w:cs="Arial"/>
          <w:i/>
          <w:sz w:val="16"/>
          <w:szCs w:val="16"/>
          <w:lang w:val="cs-CZ"/>
        </w:rPr>
        <w:t>advantage</w:t>
      </w:r>
      <w:proofErr w:type="spellEnd"/>
      <w:r w:rsidRPr="005B6DAB">
        <w:rPr>
          <w:rFonts w:cs="Arial"/>
          <w:i/>
          <w:sz w:val="16"/>
          <w:szCs w:val="16"/>
          <w:lang w:val="cs-CZ"/>
        </w:rPr>
        <w:t xml:space="preserve"> </w:t>
      </w:r>
      <w:proofErr w:type="spellStart"/>
      <w:r w:rsidRPr="005B6DAB">
        <w:rPr>
          <w:rFonts w:cs="Arial"/>
          <w:i/>
          <w:sz w:val="16"/>
          <w:szCs w:val="16"/>
          <w:lang w:val="cs-CZ"/>
        </w:rPr>
        <w:t>of</w:t>
      </w:r>
      <w:proofErr w:type="spellEnd"/>
      <w:r w:rsidRPr="005B6DAB">
        <w:rPr>
          <w:rFonts w:cs="Arial"/>
          <w:i/>
          <w:sz w:val="16"/>
          <w:szCs w:val="16"/>
          <w:lang w:val="cs-CZ"/>
        </w:rPr>
        <w:t xml:space="preserve"> </w:t>
      </w:r>
      <w:proofErr w:type="spellStart"/>
      <w:r w:rsidRPr="005B6DAB">
        <w:rPr>
          <w:rFonts w:cs="Arial"/>
          <w:i/>
          <w:sz w:val="16"/>
          <w:szCs w:val="16"/>
          <w:lang w:val="cs-CZ"/>
        </w:rPr>
        <w:t>any</w:t>
      </w:r>
      <w:proofErr w:type="spellEnd"/>
      <w:r w:rsidRPr="005B6DAB">
        <w:rPr>
          <w:rFonts w:cs="Arial"/>
          <w:i/>
          <w:sz w:val="16"/>
          <w:szCs w:val="16"/>
          <w:lang w:val="cs-CZ"/>
        </w:rPr>
        <w:t xml:space="preserve"> </w:t>
      </w:r>
      <w:proofErr w:type="spellStart"/>
      <w:r w:rsidRPr="005B6DAB">
        <w:rPr>
          <w:rFonts w:cs="Arial"/>
          <w:i/>
          <w:sz w:val="16"/>
          <w:szCs w:val="16"/>
          <w:lang w:val="cs-CZ"/>
        </w:rPr>
        <w:t>two</w:t>
      </w:r>
      <w:proofErr w:type="spellEnd"/>
      <w:r w:rsidRPr="005B6DAB">
        <w:rPr>
          <w:rFonts w:cs="Arial"/>
          <w:i/>
          <w:sz w:val="16"/>
          <w:szCs w:val="16"/>
          <w:lang w:val="cs-CZ"/>
        </w:rPr>
        <w:t xml:space="preserve"> </w:t>
      </w:r>
      <w:proofErr w:type="spellStart"/>
      <w:r w:rsidRPr="005B6DAB">
        <w:rPr>
          <w:rFonts w:cs="Arial"/>
          <w:i/>
          <w:sz w:val="16"/>
          <w:szCs w:val="16"/>
          <w:lang w:val="cs-CZ"/>
        </w:rPr>
        <w:t>players</w:t>
      </w:r>
      <w:proofErr w:type="spellEnd"/>
      <w:r w:rsidRPr="005B6DAB">
        <w:rPr>
          <w:rFonts w:cs="Arial"/>
          <w:i/>
          <w:sz w:val="16"/>
          <w:szCs w:val="16"/>
          <w:lang w:val="cs-CZ"/>
        </w:rPr>
        <w:t xml:space="preserve"> </w:t>
      </w:r>
      <w:proofErr w:type="spellStart"/>
      <w:proofErr w:type="gramStart"/>
      <w:r w:rsidRPr="005B6DAB">
        <w:rPr>
          <w:rFonts w:cs="Arial"/>
          <w:i/>
          <w:sz w:val="16"/>
          <w:szCs w:val="16"/>
          <w:lang w:val="cs-CZ"/>
        </w:rPr>
        <w:t>sharing</w:t>
      </w:r>
      <w:proofErr w:type="spellEnd"/>
      <w:r w:rsidRPr="005B6DAB">
        <w:rPr>
          <w:rFonts w:cs="Arial"/>
          <w:i/>
          <w:sz w:val="16"/>
          <w:szCs w:val="16"/>
          <w:lang w:val="cs-CZ"/>
        </w:rPr>
        <w:t xml:space="preserve">, </w:t>
      </w:r>
      <w:proofErr w:type="spellStart"/>
      <w:r w:rsidRPr="005B6DAB">
        <w:rPr>
          <w:rFonts w:cs="Arial"/>
          <w:i/>
          <w:sz w:val="16"/>
          <w:szCs w:val="16"/>
          <w:lang w:val="cs-CZ"/>
        </w:rPr>
        <w:t>e.g</w:t>
      </w:r>
      <w:proofErr w:type="spellEnd"/>
      <w:r w:rsidRPr="005B6DAB">
        <w:rPr>
          <w:rFonts w:cs="Arial"/>
          <w:i/>
          <w:sz w:val="16"/>
          <w:szCs w:val="16"/>
          <w:lang w:val="cs-CZ"/>
        </w:rPr>
        <w:t>. by</w:t>
      </w:r>
      <w:proofErr w:type="gramEnd"/>
      <w:r w:rsidRPr="005B6DAB">
        <w:rPr>
          <w:rFonts w:cs="Arial"/>
          <w:i/>
          <w:sz w:val="16"/>
          <w:szCs w:val="16"/>
          <w:lang w:val="cs-CZ"/>
        </w:rPr>
        <w:t xml:space="preserve"> </w:t>
      </w:r>
      <w:proofErr w:type="spellStart"/>
      <w:r w:rsidRPr="005B6DAB">
        <w:rPr>
          <w:rFonts w:cs="Arial"/>
          <w:i/>
          <w:sz w:val="16"/>
          <w:szCs w:val="16"/>
          <w:lang w:val="cs-CZ"/>
        </w:rPr>
        <w:t>allowing</w:t>
      </w:r>
      <w:proofErr w:type="spellEnd"/>
      <w:r w:rsidRPr="005B6DAB">
        <w:rPr>
          <w:rFonts w:cs="Arial"/>
          <w:i/>
          <w:sz w:val="16"/>
          <w:szCs w:val="16"/>
          <w:lang w:val="cs-CZ"/>
        </w:rPr>
        <w:t xml:space="preserve"> </w:t>
      </w:r>
      <w:proofErr w:type="spellStart"/>
      <w:r w:rsidRPr="005B6DAB">
        <w:rPr>
          <w:rFonts w:cs="Arial"/>
          <w:i/>
          <w:sz w:val="16"/>
          <w:szCs w:val="16"/>
          <w:lang w:val="cs-CZ"/>
        </w:rPr>
        <w:t>the</w:t>
      </w:r>
      <w:proofErr w:type="spellEnd"/>
      <w:r w:rsidRPr="005B6DAB">
        <w:rPr>
          <w:rFonts w:cs="Arial"/>
          <w:i/>
          <w:sz w:val="16"/>
          <w:szCs w:val="16"/>
          <w:lang w:val="cs-CZ"/>
        </w:rPr>
        <w:t xml:space="preserve"> non-</w:t>
      </w:r>
      <w:proofErr w:type="spellStart"/>
      <w:r w:rsidRPr="005B6DAB">
        <w:rPr>
          <w:rFonts w:cs="Arial"/>
          <w:i/>
          <w:sz w:val="16"/>
          <w:szCs w:val="16"/>
          <w:lang w:val="cs-CZ"/>
        </w:rPr>
        <w:t>sharer</w:t>
      </w:r>
      <w:proofErr w:type="spellEnd"/>
      <w:r w:rsidRPr="005B6DAB">
        <w:rPr>
          <w:rFonts w:cs="Arial"/>
          <w:i/>
          <w:sz w:val="16"/>
          <w:szCs w:val="16"/>
          <w:lang w:val="cs-CZ"/>
        </w:rPr>
        <w:t xml:space="preserve"> a </w:t>
      </w:r>
      <w:proofErr w:type="spellStart"/>
      <w:r w:rsidRPr="005B6DAB">
        <w:rPr>
          <w:rFonts w:cs="Arial"/>
          <w:i/>
          <w:sz w:val="16"/>
          <w:szCs w:val="16"/>
          <w:lang w:val="cs-CZ"/>
        </w:rPr>
        <w:t>greater</w:t>
      </w:r>
      <w:proofErr w:type="spellEnd"/>
      <w:r w:rsidRPr="005B6DAB">
        <w:rPr>
          <w:rFonts w:cs="Arial"/>
          <w:i/>
          <w:sz w:val="16"/>
          <w:szCs w:val="16"/>
          <w:lang w:val="cs-CZ"/>
        </w:rPr>
        <w:t xml:space="preserve"> </w:t>
      </w:r>
      <w:proofErr w:type="spellStart"/>
      <w:r w:rsidRPr="005B6DAB">
        <w:rPr>
          <w:rFonts w:cs="Arial"/>
          <w:i/>
          <w:sz w:val="16"/>
          <w:szCs w:val="16"/>
          <w:lang w:val="cs-CZ"/>
        </w:rPr>
        <w:t>allocation</w:t>
      </w:r>
      <w:proofErr w:type="spellEnd"/>
      <w:r w:rsidRPr="005B6DAB">
        <w:rPr>
          <w:rFonts w:cs="Arial"/>
          <w:i/>
          <w:sz w:val="16"/>
          <w:szCs w:val="16"/>
          <w:lang w:val="cs-CZ"/>
        </w:rPr>
        <w:t xml:space="preserve"> </w:t>
      </w:r>
      <w:proofErr w:type="spellStart"/>
      <w:r w:rsidRPr="005B6DAB">
        <w:rPr>
          <w:rFonts w:cs="Arial"/>
          <w:i/>
          <w:sz w:val="16"/>
          <w:szCs w:val="16"/>
          <w:lang w:val="cs-CZ"/>
        </w:rPr>
        <w:t>of</w:t>
      </w:r>
      <w:proofErr w:type="spellEnd"/>
      <w:r w:rsidRPr="005B6DAB">
        <w:rPr>
          <w:rFonts w:cs="Arial"/>
          <w:i/>
          <w:sz w:val="16"/>
          <w:szCs w:val="16"/>
          <w:lang w:val="cs-CZ"/>
        </w:rPr>
        <w:t xml:space="preserve"> </w:t>
      </w:r>
      <w:proofErr w:type="spellStart"/>
      <w:r w:rsidRPr="005B6DAB">
        <w:rPr>
          <w:rFonts w:cs="Arial"/>
          <w:i/>
          <w:sz w:val="16"/>
          <w:szCs w:val="16"/>
          <w:lang w:val="cs-CZ"/>
        </w:rPr>
        <w:t>spectrum</w:t>
      </w:r>
      <w:proofErr w:type="spellEnd"/>
      <w:r w:rsidRPr="005B6DAB">
        <w:rPr>
          <w:rFonts w:cs="Arial"/>
          <w:i/>
          <w:sz w:val="16"/>
          <w:szCs w:val="16"/>
          <w:lang w:val="cs-CZ"/>
        </w:rPr>
        <w:t xml:space="preserve">, </w:t>
      </w:r>
      <w:proofErr w:type="spellStart"/>
      <w:r w:rsidRPr="005B6DAB">
        <w:rPr>
          <w:rFonts w:cs="Arial"/>
          <w:i/>
          <w:sz w:val="16"/>
          <w:szCs w:val="16"/>
          <w:lang w:val="cs-CZ"/>
        </w:rPr>
        <w:t>may</w:t>
      </w:r>
      <w:proofErr w:type="spellEnd"/>
      <w:r w:rsidRPr="005B6DAB">
        <w:rPr>
          <w:rFonts w:cs="Arial"/>
          <w:i/>
          <w:sz w:val="16"/>
          <w:szCs w:val="16"/>
          <w:lang w:val="cs-CZ"/>
        </w:rPr>
        <w:t xml:space="preserve"> </w:t>
      </w:r>
      <w:proofErr w:type="spellStart"/>
      <w:r w:rsidRPr="005B6DAB">
        <w:rPr>
          <w:rFonts w:cs="Arial"/>
          <w:i/>
          <w:sz w:val="16"/>
          <w:szCs w:val="16"/>
          <w:lang w:val="cs-CZ"/>
        </w:rPr>
        <w:t>result</w:t>
      </w:r>
      <w:proofErr w:type="spellEnd"/>
      <w:r w:rsidRPr="005B6DAB">
        <w:rPr>
          <w:rFonts w:cs="Arial"/>
          <w:i/>
          <w:sz w:val="16"/>
          <w:szCs w:val="16"/>
          <w:lang w:val="cs-CZ"/>
        </w:rPr>
        <w:t xml:space="preserve"> in </w:t>
      </w:r>
      <w:proofErr w:type="spellStart"/>
      <w:r w:rsidRPr="005B6DAB">
        <w:rPr>
          <w:rFonts w:cs="Arial"/>
          <w:i/>
          <w:sz w:val="16"/>
          <w:szCs w:val="16"/>
          <w:lang w:val="cs-CZ"/>
        </w:rPr>
        <w:t>further</w:t>
      </w:r>
      <w:proofErr w:type="spellEnd"/>
      <w:r w:rsidRPr="005B6DAB">
        <w:rPr>
          <w:rFonts w:cs="Arial"/>
          <w:i/>
          <w:sz w:val="16"/>
          <w:szCs w:val="16"/>
          <w:lang w:val="cs-CZ"/>
        </w:rPr>
        <w:t xml:space="preserve"> </w:t>
      </w:r>
      <w:proofErr w:type="spellStart"/>
      <w:r w:rsidRPr="005B6DAB">
        <w:rPr>
          <w:rFonts w:cs="Arial"/>
          <w:i/>
          <w:sz w:val="16"/>
          <w:szCs w:val="16"/>
          <w:lang w:val="cs-CZ"/>
        </w:rPr>
        <w:t>concentration</w:t>
      </w:r>
      <w:proofErr w:type="spellEnd"/>
      <w:r w:rsidRPr="005B6DAB">
        <w:rPr>
          <w:rFonts w:cs="Arial"/>
          <w:i/>
          <w:sz w:val="16"/>
          <w:szCs w:val="16"/>
          <w:lang w:val="cs-CZ"/>
        </w:rPr>
        <w:t xml:space="preserve"> and </w:t>
      </w:r>
      <w:proofErr w:type="spellStart"/>
      <w:r w:rsidRPr="005B6DAB">
        <w:rPr>
          <w:rFonts w:cs="Arial"/>
          <w:i/>
          <w:sz w:val="16"/>
          <w:szCs w:val="16"/>
          <w:lang w:val="cs-CZ"/>
        </w:rPr>
        <w:t>less</w:t>
      </w:r>
      <w:proofErr w:type="spellEnd"/>
      <w:r w:rsidRPr="005B6DAB">
        <w:rPr>
          <w:rFonts w:cs="Arial"/>
          <w:i/>
          <w:sz w:val="16"/>
          <w:szCs w:val="16"/>
          <w:lang w:val="cs-CZ"/>
        </w:rPr>
        <w:t xml:space="preserve"> </w:t>
      </w:r>
      <w:proofErr w:type="spellStart"/>
      <w:r w:rsidRPr="005B6DAB">
        <w:rPr>
          <w:rFonts w:cs="Arial"/>
          <w:i/>
          <w:sz w:val="16"/>
          <w:szCs w:val="16"/>
          <w:lang w:val="cs-CZ"/>
        </w:rPr>
        <w:t>competition</w:t>
      </w:r>
      <w:proofErr w:type="spellEnd"/>
      <w:r w:rsidRPr="005B6DAB">
        <w:rPr>
          <w:rFonts w:cs="Arial"/>
          <w:i/>
          <w:sz w:val="16"/>
          <w:szCs w:val="16"/>
          <w:lang w:val="cs-CZ"/>
        </w:rPr>
        <w:t xml:space="preserve"> at </w:t>
      </w:r>
      <w:proofErr w:type="spellStart"/>
      <w:r w:rsidRPr="005B6DAB">
        <w:rPr>
          <w:rFonts w:cs="Arial"/>
          <w:i/>
          <w:sz w:val="16"/>
          <w:szCs w:val="16"/>
          <w:lang w:val="cs-CZ"/>
        </w:rPr>
        <w:t>the</w:t>
      </w:r>
      <w:proofErr w:type="spellEnd"/>
      <w:r w:rsidRPr="005B6DAB">
        <w:rPr>
          <w:rFonts w:cs="Arial"/>
          <w:i/>
          <w:sz w:val="16"/>
          <w:szCs w:val="16"/>
          <w:lang w:val="cs-CZ"/>
        </w:rPr>
        <w:t xml:space="preserve"> retail </w:t>
      </w:r>
      <w:proofErr w:type="spellStart"/>
      <w:r w:rsidRPr="005B6DAB">
        <w:rPr>
          <w:rFonts w:cs="Arial"/>
          <w:i/>
          <w:sz w:val="16"/>
          <w:szCs w:val="16"/>
          <w:lang w:val="cs-CZ"/>
        </w:rPr>
        <w:t>level</w:t>
      </w:r>
      <w:proofErr w:type="spellEnd"/>
      <w:r w:rsidRPr="005B6DAB">
        <w:rPr>
          <w:rFonts w:cs="Arial"/>
          <w:sz w:val="16"/>
          <w:szCs w:val="16"/>
          <w:lang w:val="cs-CZ"/>
        </w:rPr>
        <w:t>.” (</w:t>
      </w:r>
      <w:proofErr w:type="spellStart"/>
      <w:r w:rsidRPr="005B6DAB">
        <w:rPr>
          <w:rFonts w:cs="Arial"/>
          <w:sz w:val="16"/>
          <w:szCs w:val="16"/>
          <w:lang w:val="cs-CZ"/>
        </w:rPr>
        <w:t>ibid</w:t>
      </w:r>
      <w:proofErr w:type="spellEnd"/>
      <w:r w:rsidRPr="005B6DAB">
        <w:rPr>
          <w:rFonts w:cs="Arial"/>
          <w:sz w:val="16"/>
          <w:szCs w:val="16"/>
          <w:lang w:val="cs-CZ"/>
        </w:rPr>
        <w:t>., str. 68).</w:t>
      </w:r>
    </w:p>
  </w:footnote>
  <w:footnote w:id="3">
    <w:p w14:paraId="7F1E7139"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lang w:val="cs-CZ"/>
        </w:rPr>
        <w:footnoteRef/>
      </w:r>
      <w:r w:rsidRPr="005B6DAB">
        <w:rPr>
          <w:rFonts w:cs="Arial"/>
          <w:sz w:val="16"/>
          <w:szCs w:val="16"/>
          <w:lang w:val="cs-CZ"/>
        </w:rPr>
        <w:t xml:space="preserve"> Např. německý národní regulátor </w:t>
      </w:r>
      <w:proofErr w:type="spellStart"/>
      <w:r w:rsidRPr="005B6DAB">
        <w:rPr>
          <w:rFonts w:cs="Arial"/>
          <w:sz w:val="16"/>
          <w:szCs w:val="16"/>
          <w:lang w:val="cs-CZ"/>
        </w:rPr>
        <w:t>Bundesnetzagentur</w:t>
      </w:r>
      <w:proofErr w:type="spellEnd"/>
      <w:r w:rsidRPr="005B6DAB">
        <w:rPr>
          <w:rFonts w:cs="Arial"/>
          <w:sz w:val="16"/>
          <w:szCs w:val="16"/>
          <w:lang w:val="cs-CZ"/>
        </w:rPr>
        <w:t xml:space="preserve"> používá obdobné dělení ve svém sdělení „</w:t>
      </w:r>
      <w:proofErr w:type="spellStart"/>
      <w:r w:rsidRPr="005B6DAB">
        <w:rPr>
          <w:rFonts w:cs="Arial"/>
          <w:sz w:val="16"/>
          <w:szCs w:val="16"/>
          <w:lang w:val="cs-CZ"/>
        </w:rPr>
        <w:t>Shared</w:t>
      </w:r>
      <w:proofErr w:type="spellEnd"/>
      <w:r w:rsidRPr="005B6DAB">
        <w:rPr>
          <w:rFonts w:cs="Arial"/>
          <w:sz w:val="16"/>
          <w:szCs w:val="16"/>
          <w:lang w:val="cs-CZ"/>
        </w:rPr>
        <w:t xml:space="preserve"> use </w:t>
      </w:r>
      <w:proofErr w:type="spellStart"/>
      <w:r w:rsidRPr="005B6DAB">
        <w:rPr>
          <w:rFonts w:cs="Arial"/>
          <w:sz w:val="16"/>
          <w:szCs w:val="16"/>
          <w:lang w:val="cs-CZ"/>
        </w:rPr>
        <w:t>of</w:t>
      </w:r>
      <w:proofErr w:type="spellEnd"/>
      <w:r w:rsidRPr="005B6DAB">
        <w:rPr>
          <w:rFonts w:cs="Arial"/>
          <w:sz w:val="16"/>
          <w:szCs w:val="16"/>
          <w:lang w:val="cs-CZ"/>
        </w:rPr>
        <w:t xml:space="preserve"> </w:t>
      </w:r>
      <w:proofErr w:type="spellStart"/>
      <w:r w:rsidRPr="005B6DAB">
        <w:rPr>
          <w:rFonts w:cs="Arial"/>
          <w:sz w:val="16"/>
          <w:szCs w:val="16"/>
          <w:lang w:val="cs-CZ"/>
        </w:rPr>
        <w:t>wireless</w:t>
      </w:r>
      <w:proofErr w:type="spellEnd"/>
      <w:r w:rsidRPr="005B6DAB">
        <w:rPr>
          <w:rFonts w:cs="Arial"/>
          <w:sz w:val="16"/>
          <w:szCs w:val="16"/>
          <w:lang w:val="cs-CZ"/>
        </w:rPr>
        <w:t xml:space="preserve"> </w:t>
      </w:r>
      <w:proofErr w:type="spellStart"/>
      <w:r w:rsidRPr="005B6DAB">
        <w:rPr>
          <w:rFonts w:cs="Arial"/>
          <w:sz w:val="16"/>
          <w:szCs w:val="16"/>
          <w:lang w:val="cs-CZ"/>
        </w:rPr>
        <w:t>infrastructures</w:t>
      </w:r>
      <w:proofErr w:type="spellEnd"/>
      <w:r w:rsidRPr="005B6DAB">
        <w:rPr>
          <w:rFonts w:cs="Arial"/>
          <w:sz w:val="16"/>
          <w:szCs w:val="16"/>
          <w:lang w:val="cs-CZ"/>
        </w:rPr>
        <w:t xml:space="preserve"> and </w:t>
      </w:r>
      <w:proofErr w:type="spellStart"/>
      <w:r w:rsidRPr="005B6DAB">
        <w:rPr>
          <w:rFonts w:cs="Arial"/>
          <w:sz w:val="16"/>
          <w:szCs w:val="16"/>
          <w:lang w:val="cs-CZ"/>
        </w:rPr>
        <w:t>spectrum</w:t>
      </w:r>
      <w:proofErr w:type="spellEnd"/>
      <w:r w:rsidRPr="005B6DAB">
        <w:rPr>
          <w:rFonts w:cs="Arial"/>
          <w:sz w:val="16"/>
          <w:szCs w:val="16"/>
          <w:lang w:val="cs-CZ"/>
        </w:rPr>
        <w:t xml:space="preserve"> </w:t>
      </w:r>
      <w:proofErr w:type="spellStart"/>
      <w:r w:rsidRPr="005B6DAB">
        <w:rPr>
          <w:rFonts w:cs="Arial"/>
          <w:sz w:val="16"/>
          <w:szCs w:val="16"/>
          <w:lang w:val="cs-CZ"/>
        </w:rPr>
        <w:t>resources</w:t>
      </w:r>
      <w:proofErr w:type="spellEnd"/>
      <w:r w:rsidRPr="005B6DAB">
        <w:rPr>
          <w:rFonts w:cs="Arial"/>
          <w:sz w:val="16"/>
          <w:szCs w:val="16"/>
          <w:lang w:val="cs-CZ"/>
        </w:rPr>
        <w:t xml:space="preserve">“ </w:t>
      </w:r>
      <w:proofErr w:type="spellStart"/>
      <w:r w:rsidRPr="005B6DAB">
        <w:rPr>
          <w:rFonts w:cs="Arial"/>
          <w:sz w:val="16"/>
          <w:szCs w:val="16"/>
          <w:lang w:val="cs-CZ"/>
        </w:rPr>
        <w:t>of</w:t>
      </w:r>
      <w:proofErr w:type="spellEnd"/>
      <w:r w:rsidRPr="005B6DAB">
        <w:rPr>
          <w:rFonts w:cs="Arial"/>
          <w:sz w:val="16"/>
          <w:szCs w:val="16"/>
          <w:lang w:val="cs-CZ"/>
        </w:rPr>
        <w:t xml:space="preserve"> 11 August 2010. Dostupný z: http://www.bundesnetzagentur.de/cln_1411/EN/Areas/Telecommunications/Companies/FrequencyManagement/InfrastructureSharing/InfrastructureSharing_node.html. </w:t>
      </w:r>
    </w:p>
  </w:footnote>
  <w:footnote w:id="4">
    <w:p w14:paraId="4DEA9E34"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lang w:val="cs-CZ"/>
        </w:rPr>
        <w:footnoteRef/>
      </w:r>
      <w:r w:rsidRPr="005B6DAB">
        <w:rPr>
          <w:rFonts w:cs="Arial"/>
          <w:sz w:val="16"/>
          <w:szCs w:val="16"/>
          <w:lang w:val="cs-CZ"/>
        </w:rPr>
        <w:t xml:space="preserve"> GSMA: Mobile </w:t>
      </w:r>
      <w:proofErr w:type="spellStart"/>
      <w:r w:rsidRPr="005B6DAB">
        <w:rPr>
          <w:rFonts w:cs="Arial"/>
          <w:sz w:val="16"/>
          <w:szCs w:val="16"/>
          <w:lang w:val="cs-CZ"/>
        </w:rPr>
        <w:t>Infrastructure</w:t>
      </w:r>
      <w:proofErr w:type="spellEnd"/>
      <w:r w:rsidRPr="005B6DAB">
        <w:rPr>
          <w:rFonts w:cs="Arial"/>
          <w:sz w:val="16"/>
          <w:szCs w:val="16"/>
          <w:lang w:val="cs-CZ"/>
        </w:rPr>
        <w:t xml:space="preserve"> </w:t>
      </w:r>
      <w:proofErr w:type="spellStart"/>
      <w:r w:rsidRPr="005B6DAB">
        <w:rPr>
          <w:rFonts w:cs="Arial"/>
          <w:sz w:val="16"/>
          <w:szCs w:val="16"/>
          <w:lang w:val="cs-CZ"/>
        </w:rPr>
        <w:t>Sharing</w:t>
      </w:r>
      <w:proofErr w:type="spellEnd"/>
      <w:r w:rsidRPr="005B6DAB">
        <w:rPr>
          <w:rFonts w:cs="Arial"/>
          <w:sz w:val="16"/>
          <w:szCs w:val="16"/>
          <w:lang w:val="cs-CZ"/>
        </w:rPr>
        <w:t xml:space="preserve">, 2012. Dostupný z: </w:t>
      </w:r>
      <w:r w:rsidRPr="00946BA5">
        <w:rPr>
          <w:rFonts w:cs="Arial"/>
          <w:sz w:val="16"/>
          <w:szCs w:val="16"/>
          <w:lang w:val="cs-CZ"/>
        </w:rPr>
        <w:t>http://www.gsma.com/publicpolicy/infrastructure-sharinga</w:t>
      </w:r>
      <w:r w:rsidRPr="00E53C80">
        <w:rPr>
          <w:rFonts w:cs="Arial"/>
          <w:sz w:val="16"/>
          <w:szCs w:val="16"/>
          <w:lang w:val="cs-CZ"/>
        </w:rPr>
        <w:t>.</w:t>
      </w:r>
      <w:r w:rsidRPr="005B6DAB">
        <w:rPr>
          <w:rFonts w:cs="Arial"/>
          <w:sz w:val="16"/>
          <w:szCs w:val="16"/>
          <w:lang w:val="cs-CZ"/>
        </w:rPr>
        <w:t xml:space="preserve"> </w:t>
      </w:r>
    </w:p>
  </w:footnote>
  <w:footnote w:id="5">
    <w:p w14:paraId="3CC40C87"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lang w:val="cs-CZ"/>
        </w:rPr>
        <w:footnoteRef/>
      </w:r>
      <w:r w:rsidRPr="005B6DAB">
        <w:rPr>
          <w:rFonts w:cs="Arial"/>
          <w:sz w:val="16"/>
          <w:szCs w:val="16"/>
          <w:lang w:val="cs-CZ"/>
        </w:rPr>
        <w:t xml:space="preserve"> Rozhodnutí Komise z 16. července 2003 č. COMP/38.369: T-Mobile </w:t>
      </w:r>
      <w:proofErr w:type="spellStart"/>
      <w:r w:rsidRPr="005B6DAB">
        <w:rPr>
          <w:rFonts w:cs="Arial"/>
          <w:sz w:val="16"/>
          <w:szCs w:val="16"/>
          <w:lang w:val="cs-CZ"/>
        </w:rPr>
        <w:t>Deutschland</w:t>
      </w:r>
      <w:proofErr w:type="spellEnd"/>
      <w:r w:rsidRPr="005B6DAB">
        <w:rPr>
          <w:rFonts w:cs="Arial"/>
          <w:sz w:val="16"/>
          <w:szCs w:val="16"/>
          <w:lang w:val="cs-CZ"/>
        </w:rPr>
        <w:t xml:space="preserve">/O2 </w:t>
      </w:r>
      <w:proofErr w:type="spellStart"/>
      <w:r w:rsidRPr="005B6DAB">
        <w:rPr>
          <w:rFonts w:cs="Arial"/>
          <w:sz w:val="16"/>
          <w:szCs w:val="16"/>
          <w:lang w:val="cs-CZ"/>
        </w:rPr>
        <w:t>Germany</w:t>
      </w:r>
      <w:proofErr w:type="spellEnd"/>
      <w:r w:rsidRPr="005B6DAB">
        <w:rPr>
          <w:rFonts w:cs="Arial"/>
          <w:sz w:val="16"/>
          <w:szCs w:val="16"/>
          <w:lang w:val="cs-CZ"/>
        </w:rPr>
        <w:t xml:space="preserve">, odst. 13 a násl. </w:t>
      </w:r>
    </w:p>
  </w:footnote>
  <w:footnote w:id="6">
    <w:p w14:paraId="48217680"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lang w:val="de-DE"/>
        </w:rPr>
        <w:t xml:space="preserve"> </w:t>
      </w:r>
      <w:r w:rsidRPr="005B6DAB">
        <w:rPr>
          <w:rFonts w:cs="Arial"/>
          <w:sz w:val="16"/>
          <w:szCs w:val="16"/>
          <w:lang w:val="cs-CZ"/>
        </w:rPr>
        <w:t>Např. OFCOM (</w:t>
      </w:r>
      <w:r w:rsidRPr="00946BA5">
        <w:rPr>
          <w:rFonts w:cs="Arial"/>
          <w:sz w:val="16"/>
          <w:szCs w:val="16"/>
          <w:lang w:val="cs-CZ"/>
        </w:rPr>
        <w:t>http://licensing.ofcom.org.uk/radiocommunication-licences/mobile-wireless-broadband/cellular-wireless-broadband/policy-and-background/site-sharing/</w:t>
      </w:r>
      <w:r w:rsidRPr="005B6DAB">
        <w:rPr>
          <w:rFonts w:cs="Arial"/>
          <w:sz w:val="16"/>
          <w:szCs w:val="16"/>
          <w:lang w:val="cs-CZ"/>
        </w:rPr>
        <w:t xml:space="preserve">) či </w:t>
      </w:r>
      <w:proofErr w:type="spellStart"/>
      <w:r w:rsidRPr="005B6DAB">
        <w:rPr>
          <w:rFonts w:cs="Arial"/>
          <w:sz w:val="16"/>
          <w:szCs w:val="16"/>
          <w:lang w:val="cs-CZ"/>
        </w:rPr>
        <w:t>Bundesnetzagentur</w:t>
      </w:r>
      <w:proofErr w:type="spellEnd"/>
      <w:r w:rsidRPr="005B6DAB">
        <w:rPr>
          <w:rFonts w:cs="Arial"/>
          <w:sz w:val="16"/>
          <w:szCs w:val="16"/>
          <w:lang w:val="cs-CZ"/>
        </w:rPr>
        <w:t xml:space="preserve"> (</w:t>
      </w:r>
      <w:r w:rsidRPr="00946BA5">
        <w:rPr>
          <w:rFonts w:cs="Arial"/>
          <w:sz w:val="16"/>
          <w:szCs w:val="16"/>
          <w:lang w:val="cs-CZ"/>
        </w:rPr>
        <w:t>http://www.bundesnetzagentur.de/cln_1421/EN/Areas/Telecommunications/Companies/FrequencyManagement/InfrastructureSharing/InfrastructureSharing_node.html</w:t>
      </w:r>
      <w:r w:rsidRPr="005B6DAB">
        <w:rPr>
          <w:rFonts w:cs="Arial"/>
          <w:sz w:val="16"/>
          <w:szCs w:val="16"/>
          <w:lang w:val="cs-CZ"/>
        </w:rPr>
        <w:t xml:space="preserve">).  </w:t>
      </w:r>
    </w:p>
  </w:footnote>
  <w:footnote w:id="7">
    <w:p w14:paraId="46CBF613"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lang w:val="cs-CZ"/>
        </w:rPr>
        <w:footnoteRef/>
      </w:r>
      <w:r w:rsidRPr="005B6DAB">
        <w:rPr>
          <w:rFonts w:cs="Arial"/>
          <w:sz w:val="16"/>
          <w:szCs w:val="16"/>
          <w:lang w:val="cs-CZ"/>
        </w:rPr>
        <w:t xml:space="preserve"> Směrnice 2009/140/ES, recitál 43.</w:t>
      </w:r>
    </w:p>
  </w:footnote>
  <w:footnote w:id="8">
    <w:p w14:paraId="19AC0E1F"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rPr>
        <w:t xml:space="preserve"> </w:t>
      </w:r>
      <w:r w:rsidRPr="005B6DAB">
        <w:rPr>
          <w:rFonts w:cs="Arial"/>
          <w:sz w:val="16"/>
          <w:szCs w:val="16"/>
          <w:lang w:val="cs-CZ"/>
        </w:rPr>
        <w:t xml:space="preserve">CMS Network </w:t>
      </w:r>
      <w:proofErr w:type="spellStart"/>
      <w:r w:rsidRPr="005B6DAB">
        <w:rPr>
          <w:rFonts w:cs="Arial"/>
          <w:sz w:val="16"/>
          <w:szCs w:val="16"/>
          <w:lang w:val="cs-CZ"/>
        </w:rPr>
        <w:t>Sharing</w:t>
      </w:r>
      <w:proofErr w:type="spellEnd"/>
      <w:r w:rsidRPr="005B6DAB">
        <w:rPr>
          <w:rFonts w:cs="Arial"/>
          <w:sz w:val="16"/>
          <w:szCs w:val="16"/>
          <w:lang w:val="cs-CZ"/>
        </w:rPr>
        <w:t xml:space="preserve"> Study 2014: </w:t>
      </w:r>
      <w:proofErr w:type="spellStart"/>
      <w:r w:rsidRPr="005B6DAB">
        <w:rPr>
          <w:rFonts w:cs="Arial"/>
          <w:sz w:val="16"/>
          <w:szCs w:val="16"/>
          <w:lang w:val="cs-CZ"/>
        </w:rPr>
        <w:t>The</w:t>
      </w:r>
      <w:proofErr w:type="spellEnd"/>
      <w:r w:rsidRPr="005B6DAB">
        <w:rPr>
          <w:rFonts w:cs="Arial"/>
          <w:sz w:val="16"/>
          <w:szCs w:val="16"/>
          <w:lang w:val="cs-CZ"/>
        </w:rPr>
        <w:t xml:space="preserve"> 4G </w:t>
      </w:r>
      <w:proofErr w:type="spellStart"/>
      <w:r w:rsidRPr="005B6DAB">
        <w:rPr>
          <w:rFonts w:cs="Arial"/>
          <w:sz w:val="16"/>
          <w:szCs w:val="16"/>
          <w:lang w:val="cs-CZ"/>
        </w:rPr>
        <w:t>race</w:t>
      </w:r>
      <w:proofErr w:type="spellEnd"/>
      <w:r w:rsidRPr="005B6DAB">
        <w:rPr>
          <w:rFonts w:cs="Arial"/>
          <w:sz w:val="16"/>
          <w:szCs w:val="16"/>
          <w:lang w:val="cs-CZ"/>
        </w:rPr>
        <w:t xml:space="preserve"> – </w:t>
      </w:r>
      <w:proofErr w:type="spellStart"/>
      <w:r w:rsidRPr="005B6DAB">
        <w:rPr>
          <w:rFonts w:cs="Arial"/>
          <w:sz w:val="16"/>
          <w:szCs w:val="16"/>
          <w:lang w:val="cs-CZ"/>
        </w:rPr>
        <w:t>catching</w:t>
      </w:r>
      <w:proofErr w:type="spellEnd"/>
      <w:r w:rsidRPr="005B6DAB">
        <w:rPr>
          <w:rFonts w:cs="Arial"/>
          <w:sz w:val="16"/>
          <w:szCs w:val="16"/>
          <w:lang w:val="cs-CZ"/>
        </w:rPr>
        <w:t xml:space="preserve"> up </w:t>
      </w:r>
      <w:proofErr w:type="spellStart"/>
      <w:r w:rsidRPr="005B6DAB">
        <w:rPr>
          <w:rFonts w:cs="Arial"/>
          <w:sz w:val="16"/>
          <w:szCs w:val="16"/>
          <w:lang w:val="cs-CZ"/>
        </w:rPr>
        <w:t>or</w:t>
      </w:r>
      <w:proofErr w:type="spellEnd"/>
      <w:r w:rsidRPr="005B6DAB">
        <w:rPr>
          <w:rFonts w:cs="Arial"/>
          <w:sz w:val="16"/>
          <w:szCs w:val="16"/>
          <w:lang w:val="cs-CZ"/>
        </w:rPr>
        <w:t xml:space="preserve"> </w:t>
      </w:r>
      <w:proofErr w:type="spellStart"/>
      <w:r w:rsidRPr="005B6DAB">
        <w:rPr>
          <w:rFonts w:cs="Arial"/>
          <w:sz w:val="16"/>
          <w:szCs w:val="16"/>
          <w:lang w:val="cs-CZ"/>
        </w:rPr>
        <w:t>falling</w:t>
      </w:r>
      <w:proofErr w:type="spellEnd"/>
      <w:r w:rsidRPr="005B6DAB">
        <w:rPr>
          <w:rFonts w:cs="Arial"/>
          <w:sz w:val="16"/>
          <w:szCs w:val="16"/>
          <w:lang w:val="cs-CZ"/>
        </w:rPr>
        <w:t xml:space="preserve"> </w:t>
      </w:r>
      <w:proofErr w:type="spellStart"/>
      <w:r w:rsidRPr="005B6DAB">
        <w:rPr>
          <w:rFonts w:cs="Arial"/>
          <w:sz w:val="16"/>
          <w:szCs w:val="16"/>
          <w:lang w:val="cs-CZ"/>
        </w:rPr>
        <w:t>behind</w:t>
      </w:r>
      <w:proofErr w:type="spellEnd"/>
      <w:r w:rsidRPr="005B6DAB">
        <w:rPr>
          <w:rFonts w:cs="Arial"/>
          <w:sz w:val="16"/>
          <w:szCs w:val="16"/>
          <w:lang w:val="cs-CZ"/>
        </w:rPr>
        <w:t>, září 2014, str. 4 a 5. (</w:t>
      </w:r>
      <w:r w:rsidRPr="00946BA5">
        <w:rPr>
          <w:rFonts w:cs="Arial"/>
          <w:sz w:val="16"/>
          <w:szCs w:val="16"/>
          <w:lang w:val="cs-CZ"/>
        </w:rPr>
        <w:t>http://www.cms-dsb.com/Hubbard.FileSystem/files/Publication/a71b70bd-5288-4fab-9357-41e9478c5b81/Presentation/PublicationAttachment/287eff67-2fa8-411b-b067-4952106e12b7/CMS%20Network%20Sharing%20Study%202014_a.pdf</w:t>
      </w:r>
      <w:r w:rsidRPr="005B6DAB">
        <w:rPr>
          <w:rFonts w:cs="Arial"/>
          <w:sz w:val="16"/>
          <w:szCs w:val="16"/>
          <w:lang w:val="cs-CZ"/>
        </w:rPr>
        <w:t xml:space="preserve">). </w:t>
      </w:r>
    </w:p>
  </w:footnote>
  <w:footnote w:id="9">
    <w:p w14:paraId="78A67F38"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lang w:val="cs-CZ"/>
        </w:rPr>
        <w:footnoteRef/>
      </w:r>
      <w:r w:rsidRPr="005B6DAB">
        <w:rPr>
          <w:rFonts w:cs="Arial"/>
          <w:sz w:val="16"/>
          <w:szCs w:val="16"/>
          <w:lang w:val="cs-CZ"/>
        </w:rPr>
        <w:t xml:space="preserve"> </w:t>
      </w:r>
      <w:proofErr w:type="spellStart"/>
      <w:r w:rsidRPr="005B6DAB">
        <w:rPr>
          <w:rFonts w:cs="Arial"/>
          <w:sz w:val="16"/>
          <w:szCs w:val="16"/>
          <w:lang w:val="cs-CZ"/>
        </w:rPr>
        <w:t>Europe</w:t>
      </w:r>
      <w:proofErr w:type="spellEnd"/>
      <w:r w:rsidRPr="005B6DAB">
        <w:rPr>
          <w:rFonts w:cs="Arial"/>
          <w:sz w:val="16"/>
          <w:szCs w:val="16"/>
          <w:lang w:val="cs-CZ"/>
        </w:rPr>
        <w:t xml:space="preserve"> </w:t>
      </w:r>
      <w:proofErr w:type="spellStart"/>
      <w:r w:rsidRPr="005B6DAB">
        <w:rPr>
          <w:rFonts w:cs="Arial"/>
          <w:sz w:val="16"/>
          <w:szCs w:val="16"/>
          <w:lang w:val="cs-CZ"/>
        </w:rPr>
        <w:t>regulator</w:t>
      </w:r>
      <w:proofErr w:type="spellEnd"/>
      <w:r w:rsidRPr="005B6DAB">
        <w:rPr>
          <w:rFonts w:cs="Arial"/>
          <w:sz w:val="16"/>
          <w:szCs w:val="16"/>
          <w:lang w:val="cs-CZ"/>
        </w:rPr>
        <w:t xml:space="preserve"> </w:t>
      </w:r>
      <w:proofErr w:type="spellStart"/>
      <w:r w:rsidRPr="005B6DAB">
        <w:rPr>
          <w:rFonts w:cs="Arial"/>
          <w:sz w:val="16"/>
          <w:szCs w:val="16"/>
          <w:lang w:val="cs-CZ"/>
        </w:rPr>
        <w:t>rejects</w:t>
      </w:r>
      <w:proofErr w:type="spellEnd"/>
      <w:r w:rsidRPr="005B6DAB">
        <w:rPr>
          <w:rFonts w:cs="Arial"/>
          <w:sz w:val="16"/>
          <w:szCs w:val="16"/>
          <w:lang w:val="cs-CZ"/>
        </w:rPr>
        <w:t xml:space="preserve"> </w:t>
      </w:r>
      <w:proofErr w:type="spellStart"/>
      <w:r w:rsidRPr="005B6DAB">
        <w:rPr>
          <w:rFonts w:cs="Arial"/>
          <w:sz w:val="16"/>
          <w:szCs w:val="16"/>
          <w:lang w:val="cs-CZ"/>
        </w:rPr>
        <w:t>calls</w:t>
      </w:r>
      <w:proofErr w:type="spellEnd"/>
      <w:r w:rsidRPr="005B6DAB">
        <w:rPr>
          <w:rFonts w:cs="Arial"/>
          <w:sz w:val="16"/>
          <w:szCs w:val="16"/>
          <w:lang w:val="cs-CZ"/>
        </w:rPr>
        <w:t xml:space="preserve"> to </w:t>
      </w:r>
      <w:proofErr w:type="spellStart"/>
      <w:r w:rsidRPr="005B6DAB">
        <w:rPr>
          <w:rFonts w:cs="Arial"/>
          <w:sz w:val="16"/>
          <w:szCs w:val="16"/>
          <w:lang w:val="cs-CZ"/>
        </w:rPr>
        <w:t>ease</w:t>
      </w:r>
      <w:proofErr w:type="spellEnd"/>
      <w:r w:rsidRPr="005B6DAB">
        <w:rPr>
          <w:rFonts w:cs="Arial"/>
          <w:sz w:val="16"/>
          <w:szCs w:val="16"/>
          <w:lang w:val="cs-CZ"/>
        </w:rPr>
        <w:t xml:space="preserve"> </w:t>
      </w:r>
      <w:proofErr w:type="spellStart"/>
      <w:r w:rsidRPr="005B6DAB">
        <w:rPr>
          <w:rFonts w:cs="Arial"/>
          <w:sz w:val="16"/>
          <w:szCs w:val="16"/>
          <w:lang w:val="cs-CZ"/>
        </w:rPr>
        <w:t>limits</w:t>
      </w:r>
      <w:proofErr w:type="spellEnd"/>
      <w:r w:rsidRPr="005B6DAB">
        <w:rPr>
          <w:rFonts w:cs="Arial"/>
          <w:sz w:val="16"/>
          <w:szCs w:val="16"/>
          <w:lang w:val="cs-CZ"/>
        </w:rPr>
        <w:t xml:space="preserve"> on </w:t>
      </w:r>
      <w:proofErr w:type="spellStart"/>
      <w:r w:rsidRPr="005B6DAB">
        <w:rPr>
          <w:rFonts w:cs="Arial"/>
          <w:sz w:val="16"/>
          <w:szCs w:val="16"/>
          <w:lang w:val="cs-CZ"/>
        </w:rPr>
        <w:t>telecoms</w:t>
      </w:r>
      <w:proofErr w:type="spellEnd"/>
      <w:r w:rsidRPr="005B6DAB">
        <w:rPr>
          <w:rFonts w:cs="Arial"/>
          <w:sz w:val="16"/>
          <w:szCs w:val="16"/>
          <w:lang w:val="cs-CZ"/>
        </w:rPr>
        <w:t xml:space="preserve"> </w:t>
      </w:r>
      <w:proofErr w:type="spellStart"/>
      <w:r w:rsidRPr="005B6DAB">
        <w:rPr>
          <w:rFonts w:cs="Arial"/>
          <w:sz w:val="16"/>
          <w:szCs w:val="16"/>
          <w:lang w:val="cs-CZ"/>
        </w:rPr>
        <w:t>mergers</w:t>
      </w:r>
      <w:proofErr w:type="spellEnd"/>
      <w:r w:rsidRPr="005B6DAB">
        <w:rPr>
          <w:rFonts w:cs="Arial"/>
          <w:sz w:val="16"/>
          <w:szCs w:val="16"/>
          <w:lang w:val="cs-CZ"/>
        </w:rPr>
        <w:t xml:space="preserve">, </w:t>
      </w:r>
      <w:proofErr w:type="gramStart"/>
      <w:r w:rsidRPr="005B6DAB">
        <w:rPr>
          <w:rFonts w:cs="Arial"/>
          <w:sz w:val="16"/>
          <w:szCs w:val="16"/>
          <w:lang w:val="cs-CZ"/>
        </w:rPr>
        <w:t>15.5.2014</w:t>
      </w:r>
      <w:proofErr w:type="gramEnd"/>
      <w:r w:rsidRPr="005B6DAB">
        <w:rPr>
          <w:rFonts w:cs="Arial"/>
          <w:sz w:val="16"/>
          <w:szCs w:val="16"/>
          <w:lang w:val="cs-CZ"/>
        </w:rPr>
        <w:t xml:space="preserve">, </w:t>
      </w:r>
      <w:r w:rsidRPr="00946BA5">
        <w:rPr>
          <w:rFonts w:cs="Arial"/>
          <w:sz w:val="16"/>
          <w:szCs w:val="16"/>
          <w:lang w:val="cs-CZ"/>
        </w:rPr>
        <w:t>http://www.ft.com/cms/s/0/c3e6dcaa-dc20-11e3-a33d-00144feabdc0.html#axzz3U4E5ZDc0</w:t>
      </w:r>
      <w:r w:rsidRPr="005B6DAB">
        <w:rPr>
          <w:rFonts w:cs="Arial"/>
          <w:sz w:val="16"/>
          <w:szCs w:val="16"/>
        </w:rPr>
        <w:t>.</w:t>
      </w:r>
      <w:r w:rsidRPr="005B6DAB">
        <w:rPr>
          <w:rFonts w:cs="Arial"/>
          <w:sz w:val="16"/>
          <w:szCs w:val="16"/>
          <w:lang w:val="cs-CZ"/>
        </w:rPr>
        <w:t xml:space="preserve"> </w:t>
      </w:r>
    </w:p>
  </w:footnote>
  <w:footnote w:id="10">
    <w:p w14:paraId="266B7DE2"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lang w:val="cs-CZ"/>
        </w:rPr>
        <w:footnoteRef/>
      </w:r>
      <w:r w:rsidRPr="005B6DAB">
        <w:rPr>
          <w:rFonts w:cs="Arial"/>
          <w:sz w:val="16"/>
          <w:szCs w:val="16"/>
          <w:lang w:val="cs-CZ"/>
        </w:rPr>
        <w:t xml:space="preserve"> CMS Network </w:t>
      </w:r>
      <w:proofErr w:type="spellStart"/>
      <w:r w:rsidRPr="005B6DAB">
        <w:rPr>
          <w:rFonts w:cs="Arial"/>
          <w:sz w:val="16"/>
          <w:szCs w:val="16"/>
          <w:lang w:val="cs-CZ"/>
        </w:rPr>
        <w:t>Sharing</w:t>
      </w:r>
      <w:proofErr w:type="spellEnd"/>
      <w:r w:rsidRPr="005B6DAB">
        <w:rPr>
          <w:rFonts w:cs="Arial"/>
          <w:sz w:val="16"/>
          <w:szCs w:val="16"/>
          <w:lang w:val="cs-CZ"/>
        </w:rPr>
        <w:t xml:space="preserve"> Study 2014: </w:t>
      </w:r>
      <w:proofErr w:type="spellStart"/>
      <w:r w:rsidRPr="005B6DAB">
        <w:rPr>
          <w:rFonts w:cs="Arial"/>
          <w:sz w:val="16"/>
          <w:szCs w:val="16"/>
          <w:lang w:val="cs-CZ"/>
        </w:rPr>
        <w:t>The</w:t>
      </w:r>
      <w:proofErr w:type="spellEnd"/>
      <w:r w:rsidRPr="005B6DAB">
        <w:rPr>
          <w:rFonts w:cs="Arial"/>
          <w:sz w:val="16"/>
          <w:szCs w:val="16"/>
          <w:lang w:val="cs-CZ"/>
        </w:rPr>
        <w:t xml:space="preserve"> 4G </w:t>
      </w:r>
      <w:proofErr w:type="spellStart"/>
      <w:r w:rsidRPr="005B6DAB">
        <w:rPr>
          <w:rFonts w:cs="Arial"/>
          <w:sz w:val="16"/>
          <w:szCs w:val="16"/>
          <w:lang w:val="cs-CZ"/>
        </w:rPr>
        <w:t>race</w:t>
      </w:r>
      <w:proofErr w:type="spellEnd"/>
      <w:r w:rsidRPr="005B6DAB">
        <w:rPr>
          <w:rFonts w:cs="Arial"/>
          <w:sz w:val="16"/>
          <w:szCs w:val="16"/>
          <w:lang w:val="cs-CZ"/>
        </w:rPr>
        <w:t xml:space="preserve"> – </w:t>
      </w:r>
      <w:proofErr w:type="spellStart"/>
      <w:r w:rsidRPr="005B6DAB">
        <w:rPr>
          <w:rFonts w:cs="Arial"/>
          <w:sz w:val="16"/>
          <w:szCs w:val="16"/>
          <w:lang w:val="cs-CZ"/>
        </w:rPr>
        <w:t>catching</w:t>
      </w:r>
      <w:proofErr w:type="spellEnd"/>
      <w:r w:rsidRPr="005B6DAB">
        <w:rPr>
          <w:rFonts w:cs="Arial"/>
          <w:sz w:val="16"/>
          <w:szCs w:val="16"/>
          <w:lang w:val="cs-CZ"/>
        </w:rPr>
        <w:t xml:space="preserve"> up </w:t>
      </w:r>
      <w:proofErr w:type="spellStart"/>
      <w:r w:rsidRPr="005B6DAB">
        <w:rPr>
          <w:rFonts w:cs="Arial"/>
          <w:sz w:val="16"/>
          <w:szCs w:val="16"/>
          <w:lang w:val="cs-CZ"/>
        </w:rPr>
        <w:t>or</w:t>
      </w:r>
      <w:proofErr w:type="spellEnd"/>
      <w:r w:rsidRPr="005B6DAB">
        <w:rPr>
          <w:rFonts w:cs="Arial"/>
          <w:sz w:val="16"/>
          <w:szCs w:val="16"/>
          <w:lang w:val="cs-CZ"/>
        </w:rPr>
        <w:t xml:space="preserve"> </w:t>
      </w:r>
      <w:proofErr w:type="spellStart"/>
      <w:r w:rsidRPr="005B6DAB">
        <w:rPr>
          <w:rFonts w:cs="Arial"/>
          <w:sz w:val="16"/>
          <w:szCs w:val="16"/>
          <w:lang w:val="cs-CZ"/>
        </w:rPr>
        <w:t>falling</w:t>
      </w:r>
      <w:proofErr w:type="spellEnd"/>
      <w:r w:rsidRPr="005B6DAB">
        <w:rPr>
          <w:rFonts w:cs="Arial"/>
          <w:sz w:val="16"/>
          <w:szCs w:val="16"/>
          <w:lang w:val="cs-CZ"/>
        </w:rPr>
        <w:t xml:space="preserve"> </w:t>
      </w:r>
      <w:proofErr w:type="spellStart"/>
      <w:r w:rsidRPr="005B6DAB">
        <w:rPr>
          <w:rFonts w:cs="Arial"/>
          <w:sz w:val="16"/>
          <w:szCs w:val="16"/>
          <w:lang w:val="cs-CZ"/>
        </w:rPr>
        <w:t>behind</w:t>
      </w:r>
      <w:proofErr w:type="spellEnd"/>
      <w:r w:rsidRPr="005B6DAB">
        <w:rPr>
          <w:rFonts w:cs="Arial"/>
          <w:sz w:val="16"/>
          <w:szCs w:val="16"/>
          <w:lang w:val="cs-CZ"/>
        </w:rPr>
        <w:t>?, září 2014, strana 10.</w:t>
      </w:r>
    </w:p>
  </w:footnote>
  <w:footnote w:id="11">
    <w:p w14:paraId="04C9085E"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lang w:val="cs-CZ"/>
        </w:rPr>
        <w:t xml:space="preserve"> Např. kapitola 5.7.1 a 5.7.2 Vyhlášení výběrového řízení za účelem udělení práv k využívání rádiových kmitočtů k zajištění veřejné komunikační sítě v pásmech 800 MHz, 1800 MHz a 2600 MHz (dále jen „aukce 4G“), jež proběhlo v České republice v roce 2013.</w:t>
      </w:r>
    </w:p>
  </w:footnote>
  <w:footnote w:id="12">
    <w:p w14:paraId="2F52B9A5"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lang w:val="cs-CZ"/>
        </w:rPr>
        <w:t xml:space="preserve"> Dle studie společnosti CMS bylo během let 2013 – 2014, či v blízké minulosti, v Evropě uzavřeno 10 dohod o sdílení 2G sítí, 11 dohod o sdílení 3G sítí a 7 dohod o sdílení 4G sítí (některé dohody zahrnovaly sdílení více druhů sítí). CMS Network </w:t>
      </w:r>
      <w:proofErr w:type="spellStart"/>
      <w:r w:rsidRPr="005B6DAB">
        <w:rPr>
          <w:rFonts w:cs="Arial"/>
          <w:sz w:val="16"/>
          <w:szCs w:val="16"/>
          <w:lang w:val="cs-CZ"/>
        </w:rPr>
        <w:t>Sharing</w:t>
      </w:r>
      <w:proofErr w:type="spellEnd"/>
      <w:r w:rsidRPr="005B6DAB">
        <w:rPr>
          <w:rFonts w:cs="Arial"/>
          <w:sz w:val="16"/>
          <w:szCs w:val="16"/>
          <w:lang w:val="cs-CZ"/>
        </w:rPr>
        <w:t xml:space="preserve"> Study 2014, str. 10.  </w:t>
      </w:r>
    </w:p>
  </w:footnote>
  <w:footnote w:id="13">
    <w:p w14:paraId="13A8AAF6"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lang w:val="cs-CZ"/>
        </w:rPr>
        <w:t xml:space="preserve"> </w:t>
      </w:r>
      <w:r w:rsidRPr="00946BA5">
        <w:rPr>
          <w:rFonts w:cs="Arial"/>
          <w:sz w:val="16"/>
          <w:szCs w:val="16"/>
          <w:lang w:val="cs-CZ"/>
        </w:rPr>
        <w:t>https://www.telegeography.com/products/commsupdate/articles/2014/12/03/telenor-telia-to-merge-danish-operations/</w:t>
      </w:r>
      <w:r w:rsidRPr="005B6DAB">
        <w:rPr>
          <w:rFonts w:cs="Arial"/>
          <w:sz w:val="16"/>
          <w:szCs w:val="16"/>
          <w:lang w:val="cs-CZ"/>
        </w:rPr>
        <w:t xml:space="preserve"> </w:t>
      </w:r>
    </w:p>
  </w:footnote>
  <w:footnote w:id="14">
    <w:p w14:paraId="48B365CD"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lang w:val="cs-CZ"/>
        </w:rPr>
        <w:t xml:space="preserve"> Rozhodnutí dánského NCA, čl. 148, str. 44 (v dánštině).  </w:t>
      </w:r>
      <w:proofErr w:type="gramStart"/>
      <w:r w:rsidRPr="00946BA5">
        <w:rPr>
          <w:rFonts w:cs="Arial"/>
          <w:sz w:val="16"/>
          <w:szCs w:val="16"/>
          <w:lang w:val="cs-CZ"/>
        </w:rPr>
        <w:t>http</w:t>
      </w:r>
      <w:proofErr w:type="gramEnd"/>
      <w:r w:rsidRPr="00946BA5">
        <w:rPr>
          <w:rFonts w:cs="Arial"/>
          <w:sz w:val="16"/>
          <w:szCs w:val="16"/>
          <w:lang w:val="cs-CZ"/>
        </w:rPr>
        <w:t>://www.kfst.dk/~/media/Afgoerelsesdatabase/Konkurrenceomraadet/Afgoerelser/2012/20120229%20%20Afgoerelse%20%20Anmeldelse%20af%20netdelingssamarbejde%20mellem%20Telia%20og%20Telenor.pdf</w:t>
      </w:r>
      <w:r>
        <w:rPr>
          <w:rFonts w:cs="Arial"/>
          <w:sz w:val="16"/>
          <w:szCs w:val="16"/>
          <w:lang w:val="cs-CZ"/>
        </w:rPr>
        <w:t>.</w:t>
      </w:r>
      <w:r w:rsidRPr="005B6DAB">
        <w:rPr>
          <w:rFonts w:cs="Arial"/>
          <w:sz w:val="16"/>
          <w:szCs w:val="16"/>
          <w:lang w:val="cs-CZ"/>
        </w:rPr>
        <w:t xml:space="preserve"> </w:t>
      </w:r>
    </w:p>
  </w:footnote>
  <w:footnote w:id="15">
    <w:p w14:paraId="2555396C"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lang w:val="cs-CZ"/>
        </w:rPr>
        <w:t xml:space="preserve"> </w:t>
      </w:r>
      <w:proofErr w:type="spellStart"/>
      <w:r w:rsidRPr="005B6DAB">
        <w:rPr>
          <w:rFonts w:cs="Arial"/>
          <w:sz w:val="16"/>
          <w:szCs w:val="16"/>
          <w:lang w:val="cs-CZ"/>
        </w:rPr>
        <w:t>Ibid</w:t>
      </w:r>
      <w:proofErr w:type="spellEnd"/>
      <w:r w:rsidRPr="005B6DAB">
        <w:rPr>
          <w:rFonts w:cs="Arial"/>
          <w:sz w:val="16"/>
          <w:szCs w:val="16"/>
          <w:lang w:val="cs-CZ"/>
        </w:rPr>
        <w:t xml:space="preserve">, čl. 168-169, str. 49. </w:t>
      </w:r>
    </w:p>
  </w:footnote>
  <w:footnote w:id="16">
    <w:p w14:paraId="5188B6CE" w14:textId="77777777" w:rsidR="00273E54" w:rsidRPr="005B6DAB" w:rsidRDefault="00273E54" w:rsidP="00A163E1">
      <w:pPr>
        <w:keepNext/>
        <w:keepLines/>
        <w:spacing w:before="0" w:after="0"/>
        <w:jc w:val="left"/>
        <w:rPr>
          <w:rFonts w:cs="Arial"/>
          <w:sz w:val="16"/>
          <w:szCs w:val="16"/>
          <w:lang w:val="cs-CZ"/>
        </w:rPr>
      </w:pPr>
      <w:r w:rsidRPr="005B6DAB">
        <w:rPr>
          <w:rStyle w:val="Znakapoznpodarou"/>
          <w:rFonts w:cs="Arial"/>
          <w:sz w:val="16"/>
          <w:szCs w:val="16"/>
        </w:rPr>
        <w:footnoteRef/>
      </w:r>
      <w:r w:rsidRPr="005B6DAB">
        <w:rPr>
          <w:rFonts w:cs="Arial"/>
          <w:sz w:val="16"/>
          <w:szCs w:val="16"/>
          <w:lang w:val="cs-CZ"/>
        </w:rPr>
        <w:t xml:space="preserve"> Obava č. 1: Dohoda může zvýšit riziko koluzivního chování na velkoobchodním trhu mobilní komunikace a mobilního </w:t>
      </w:r>
      <w:proofErr w:type="spellStart"/>
      <w:r w:rsidRPr="005B6DAB">
        <w:rPr>
          <w:rFonts w:cs="Arial"/>
          <w:sz w:val="16"/>
          <w:szCs w:val="16"/>
          <w:lang w:val="cs-CZ"/>
        </w:rPr>
        <w:t>broadbandu</w:t>
      </w:r>
      <w:proofErr w:type="spellEnd"/>
      <w:r w:rsidRPr="005B6DAB">
        <w:rPr>
          <w:rFonts w:cs="Arial"/>
          <w:sz w:val="16"/>
          <w:szCs w:val="16"/>
          <w:lang w:val="cs-CZ"/>
        </w:rPr>
        <w:t xml:space="preserve">. </w:t>
      </w:r>
    </w:p>
    <w:p w14:paraId="04D9DD1F" w14:textId="77777777" w:rsidR="00273E54" w:rsidRPr="005B6DAB" w:rsidRDefault="00273E54" w:rsidP="00A163E1">
      <w:pPr>
        <w:keepNext/>
        <w:keepLines/>
        <w:spacing w:before="0" w:after="0"/>
        <w:jc w:val="left"/>
        <w:rPr>
          <w:rFonts w:cs="Arial"/>
          <w:sz w:val="16"/>
          <w:szCs w:val="16"/>
          <w:lang w:val="cs-CZ"/>
        </w:rPr>
      </w:pPr>
      <w:r w:rsidRPr="005B6DAB">
        <w:rPr>
          <w:rFonts w:cs="Arial"/>
          <w:sz w:val="16"/>
          <w:szCs w:val="16"/>
          <w:lang w:val="cs-CZ"/>
        </w:rPr>
        <w:t xml:space="preserve">Závazek sdílejících stran č. 1: Strany se zavázaly přijmout veškeré žádosti od velkoobchodních zákazníků za přiměřenou a tržní cenu. </w:t>
      </w:r>
    </w:p>
    <w:p w14:paraId="3504B166" w14:textId="77777777" w:rsidR="00273E54" w:rsidRPr="005B6DAB" w:rsidRDefault="00273E54" w:rsidP="00A163E1">
      <w:pPr>
        <w:keepNext/>
        <w:keepLines/>
        <w:spacing w:before="0" w:after="0"/>
        <w:jc w:val="left"/>
        <w:rPr>
          <w:rFonts w:cs="Arial"/>
          <w:sz w:val="16"/>
          <w:szCs w:val="16"/>
          <w:lang w:val="cs-CZ"/>
        </w:rPr>
      </w:pPr>
      <w:r w:rsidRPr="005B6DAB">
        <w:rPr>
          <w:rFonts w:cs="Arial"/>
          <w:sz w:val="16"/>
          <w:szCs w:val="16"/>
          <w:lang w:val="cs-CZ"/>
        </w:rPr>
        <w:t xml:space="preserve">Obava č. 2: Tarifní struktura navržená stranami za účelem pokrytí nákladů joint-venture by mohla změnit nákladovou strukturu RAN sítě vzhledem k nákladové struktuře před uzavření dohody o sdílení tak, že přemění fixní náklady na variabilní. Taková změna by mohla vést k omezení motivace stran soutěžit a získávat nové zákazníky. </w:t>
      </w:r>
    </w:p>
    <w:p w14:paraId="1016664E" w14:textId="77777777" w:rsidR="00273E54" w:rsidRPr="005B6DAB" w:rsidRDefault="00273E54" w:rsidP="00A163E1">
      <w:pPr>
        <w:keepNext/>
        <w:keepLines/>
        <w:spacing w:before="0" w:after="0"/>
        <w:jc w:val="left"/>
        <w:rPr>
          <w:rFonts w:cs="Arial"/>
          <w:sz w:val="16"/>
          <w:szCs w:val="16"/>
          <w:lang w:val="cs-CZ"/>
        </w:rPr>
      </w:pPr>
      <w:r w:rsidRPr="005B6DAB">
        <w:rPr>
          <w:rFonts w:cs="Arial"/>
          <w:sz w:val="16"/>
          <w:szCs w:val="16"/>
          <w:lang w:val="cs-CZ"/>
        </w:rPr>
        <w:t xml:space="preserve">Závazek sdílejících stran č. 2: Strany se zavázaly, že budou platit společně vlastněné JV společnosti za dodávky RAN kapacity v takovém poměru (tarifní struktuře), který bude po celou dobu odpovídat nákladové struktuře RAN sítě. </w:t>
      </w:r>
    </w:p>
    <w:p w14:paraId="465F866B" w14:textId="77777777" w:rsidR="00273E54" w:rsidRPr="005B6DAB" w:rsidRDefault="00273E54" w:rsidP="00A163E1">
      <w:pPr>
        <w:keepNext/>
        <w:keepLines/>
        <w:spacing w:before="0" w:after="0"/>
        <w:jc w:val="left"/>
        <w:rPr>
          <w:rFonts w:cs="Arial"/>
          <w:sz w:val="16"/>
          <w:szCs w:val="16"/>
          <w:lang w:val="cs-CZ"/>
        </w:rPr>
      </w:pPr>
      <w:r w:rsidRPr="005B6DAB">
        <w:rPr>
          <w:rFonts w:cs="Arial"/>
          <w:sz w:val="16"/>
          <w:szCs w:val="16"/>
          <w:lang w:val="cs-CZ"/>
        </w:rPr>
        <w:t xml:space="preserve">Obava č. 3: Strany získají takové množství sdílených frekvencí, jež v dlouhodobém horizontu zásadně převýší množství frekvencí ostatních soutěžitelů. </w:t>
      </w:r>
    </w:p>
    <w:p w14:paraId="59B486AB" w14:textId="77777777" w:rsidR="00273E54" w:rsidRPr="005B6DAB" w:rsidRDefault="00273E54" w:rsidP="00A163E1">
      <w:pPr>
        <w:keepNext/>
        <w:keepLines/>
        <w:spacing w:before="0" w:after="0"/>
        <w:jc w:val="left"/>
        <w:rPr>
          <w:rFonts w:cs="Arial"/>
          <w:sz w:val="16"/>
          <w:szCs w:val="16"/>
          <w:lang w:val="cs-CZ"/>
        </w:rPr>
      </w:pPr>
      <w:r w:rsidRPr="005B6DAB">
        <w:rPr>
          <w:rFonts w:cs="Arial"/>
          <w:sz w:val="16"/>
          <w:szCs w:val="16"/>
          <w:lang w:val="cs-CZ"/>
        </w:rPr>
        <w:t xml:space="preserve">Závazek č. 3: Strany se zavázaly se v budoucnu ucházet o a nakupovat spektrum </w:t>
      </w:r>
      <w:r>
        <w:rPr>
          <w:rFonts w:cs="Arial"/>
          <w:sz w:val="16"/>
          <w:szCs w:val="16"/>
          <w:lang w:val="cs-CZ"/>
        </w:rPr>
        <w:t>prostřednictvím</w:t>
      </w:r>
      <w:r w:rsidRPr="005B6DAB">
        <w:rPr>
          <w:rFonts w:cs="Arial"/>
          <w:sz w:val="16"/>
          <w:szCs w:val="16"/>
          <w:lang w:val="cs-CZ"/>
        </w:rPr>
        <w:t xml:space="preserve"> JV společnost</w:t>
      </w:r>
      <w:r>
        <w:rPr>
          <w:rFonts w:cs="Arial"/>
          <w:sz w:val="16"/>
          <w:szCs w:val="16"/>
          <w:lang w:val="cs-CZ"/>
        </w:rPr>
        <w:t>i</w:t>
      </w:r>
      <w:r w:rsidRPr="005B6DAB">
        <w:rPr>
          <w:rFonts w:cs="Arial"/>
          <w:sz w:val="16"/>
          <w:szCs w:val="16"/>
          <w:lang w:val="cs-CZ"/>
        </w:rPr>
        <w:t xml:space="preserve">. To zabrání situaci, že by každá strana získala frekvence, které by následně sdílely v rámci JV společnosti. </w:t>
      </w:r>
    </w:p>
    <w:p w14:paraId="7D9F391E" w14:textId="77777777" w:rsidR="00273E54" w:rsidRPr="005B6DAB" w:rsidRDefault="00273E54" w:rsidP="00A163E1">
      <w:pPr>
        <w:keepNext/>
        <w:keepLines/>
        <w:spacing w:before="0" w:after="0"/>
        <w:jc w:val="left"/>
        <w:rPr>
          <w:rFonts w:cs="Arial"/>
          <w:sz w:val="16"/>
          <w:szCs w:val="16"/>
          <w:lang w:val="cs-CZ"/>
        </w:rPr>
      </w:pPr>
      <w:r w:rsidRPr="005B6DAB">
        <w:rPr>
          <w:rFonts w:cs="Arial"/>
          <w:sz w:val="16"/>
          <w:szCs w:val="16"/>
          <w:lang w:val="cs-CZ"/>
        </w:rPr>
        <w:t xml:space="preserve">Obava č. 4: Strany sníží počet antén a stožárů ve sdílené sítí, což může ohrozit rozsah a kvalitu pokrytí soutěžitelů, kteří si pronajímají místa pro své antény na stožárech sdílejících stran. </w:t>
      </w:r>
    </w:p>
    <w:p w14:paraId="605F1C6C" w14:textId="77777777" w:rsidR="00273E54" w:rsidRPr="005B6DAB" w:rsidRDefault="00273E54" w:rsidP="00A163E1">
      <w:pPr>
        <w:keepNext/>
        <w:keepLines/>
        <w:spacing w:before="0" w:after="0"/>
        <w:jc w:val="left"/>
        <w:rPr>
          <w:rFonts w:cs="Arial"/>
          <w:sz w:val="16"/>
          <w:szCs w:val="16"/>
          <w:lang w:val="cs-CZ"/>
        </w:rPr>
      </w:pPr>
      <w:r w:rsidRPr="005B6DAB">
        <w:rPr>
          <w:rFonts w:cs="Arial"/>
          <w:sz w:val="16"/>
          <w:szCs w:val="16"/>
          <w:lang w:val="cs-CZ"/>
        </w:rPr>
        <w:t xml:space="preserve">Závazek č. 4: Strany se zavázaly pronajmout nebo prodat nadbytečné lokality pro umístění antén jakémukoliv zájemci na trhu. </w:t>
      </w:r>
    </w:p>
    <w:p w14:paraId="3BD2440F" w14:textId="77777777" w:rsidR="00273E54" w:rsidRPr="005B6DAB" w:rsidRDefault="00273E54" w:rsidP="00A163E1">
      <w:pPr>
        <w:keepNext/>
        <w:keepLines/>
        <w:spacing w:before="0" w:after="0"/>
        <w:jc w:val="left"/>
        <w:rPr>
          <w:rFonts w:cs="Arial"/>
          <w:sz w:val="16"/>
          <w:szCs w:val="16"/>
          <w:lang w:val="cs-CZ"/>
        </w:rPr>
      </w:pPr>
      <w:r w:rsidRPr="005B6DAB">
        <w:rPr>
          <w:rFonts w:cs="Arial"/>
          <w:sz w:val="16"/>
          <w:szCs w:val="16"/>
          <w:lang w:val="cs-CZ"/>
        </w:rPr>
        <w:t xml:space="preserve">Obava č. 5: Dohoda zvyšuje riziko výměny obchodně citlivých informací, které nejsou nezbytné pro poskytování sdílené sítě. </w:t>
      </w:r>
    </w:p>
    <w:p w14:paraId="0C89D1B6" w14:textId="77777777" w:rsidR="00273E54" w:rsidRPr="005B6DAB" w:rsidRDefault="00273E54" w:rsidP="00A163E1">
      <w:pPr>
        <w:keepNext/>
        <w:keepLines/>
        <w:spacing w:before="0" w:after="0"/>
        <w:jc w:val="left"/>
        <w:rPr>
          <w:rFonts w:cs="Arial"/>
          <w:sz w:val="16"/>
          <w:szCs w:val="16"/>
          <w:lang w:val="cs-CZ"/>
        </w:rPr>
      </w:pPr>
      <w:r w:rsidRPr="005B6DAB">
        <w:rPr>
          <w:rFonts w:cs="Arial"/>
          <w:sz w:val="16"/>
          <w:szCs w:val="16"/>
          <w:lang w:val="cs-CZ"/>
        </w:rPr>
        <w:t xml:space="preserve">Závazek č. 5: Strany se zavázaly přijmout soubor omezení v souvislosti s ustanovením členů představenstva, managementu i ostatních zaměstnanců JV společnosti ve vztahu k informacím, které mohou být sdíleny v rámci JV </w:t>
      </w:r>
      <w:r>
        <w:rPr>
          <w:rFonts w:cs="Arial"/>
          <w:sz w:val="16"/>
          <w:szCs w:val="16"/>
          <w:lang w:val="cs-CZ"/>
        </w:rPr>
        <w:t xml:space="preserve">společnosti </w:t>
      </w:r>
      <w:r w:rsidRPr="005B6DAB">
        <w:rPr>
          <w:rFonts w:cs="Arial"/>
          <w:sz w:val="16"/>
          <w:szCs w:val="16"/>
          <w:lang w:val="cs-CZ"/>
        </w:rPr>
        <w:t xml:space="preserve">nebo mezi JV </w:t>
      </w:r>
      <w:r>
        <w:rPr>
          <w:rFonts w:cs="Arial"/>
          <w:sz w:val="16"/>
          <w:szCs w:val="16"/>
          <w:lang w:val="cs-CZ"/>
        </w:rPr>
        <w:t xml:space="preserve">společnosti </w:t>
      </w:r>
      <w:r w:rsidRPr="005B6DAB">
        <w:rPr>
          <w:rFonts w:cs="Arial"/>
          <w:sz w:val="16"/>
          <w:szCs w:val="16"/>
          <w:lang w:val="cs-CZ"/>
        </w:rPr>
        <w:t xml:space="preserve">a stranami. </w:t>
      </w:r>
    </w:p>
    <w:p w14:paraId="1E3EF9ED" w14:textId="77777777" w:rsidR="00273E54" w:rsidRPr="005B6DAB" w:rsidRDefault="00273E54" w:rsidP="00A163E1">
      <w:pPr>
        <w:keepNext/>
        <w:keepLines/>
        <w:spacing w:before="0" w:after="0"/>
        <w:jc w:val="left"/>
        <w:rPr>
          <w:rFonts w:cs="Arial"/>
          <w:sz w:val="16"/>
          <w:szCs w:val="16"/>
          <w:lang w:val="cs-CZ"/>
        </w:rPr>
      </w:pPr>
      <w:r w:rsidRPr="005B6DAB">
        <w:rPr>
          <w:rFonts w:cs="Arial"/>
          <w:sz w:val="16"/>
          <w:szCs w:val="16"/>
          <w:lang w:val="cs-CZ"/>
        </w:rPr>
        <w:t xml:space="preserve">Obava č. 6: Dohoda omezuje </w:t>
      </w:r>
      <w:r>
        <w:rPr>
          <w:rFonts w:cs="Arial"/>
          <w:sz w:val="16"/>
          <w:szCs w:val="16"/>
          <w:lang w:val="cs-CZ"/>
        </w:rPr>
        <w:t>hospodářskou</w:t>
      </w:r>
      <w:r w:rsidRPr="005B6DAB">
        <w:rPr>
          <w:rFonts w:cs="Arial"/>
          <w:sz w:val="16"/>
          <w:szCs w:val="16"/>
          <w:lang w:val="cs-CZ"/>
        </w:rPr>
        <w:t xml:space="preserve"> soutěž v zásadních parametrech jako je pokrytí a rozšíření nových technologií, jelikož dohoda naznačuje, že RAN sdílejících stran jsou integrovány a </w:t>
      </w:r>
      <w:r>
        <w:rPr>
          <w:rFonts w:cs="Arial"/>
          <w:sz w:val="16"/>
          <w:szCs w:val="16"/>
          <w:lang w:val="cs-CZ"/>
        </w:rPr>
        <w:t>tudíž</w:t>
      </w:r>
      <w:r w:rsidRPr="005B6DAB">
        <w:rPr>
          <w:rFonts w:cs="Arial"/>
          <w:sz w:val="16"/>
          <w:szCs w:val="16"/>
          <w:lang w:val="cs-CZ"/>
        </w:rPr>
        <w:t xml:space="preserve"> služby stran jsou identické.  </w:t>
      </w:r>
    </w:p>
  </w:footnote>
  <w:footnote w:id="17">
    <w:p w14:paraId="7106C586"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lang w:val="cs-CZ"/>
        </w:rPr>
        <w:t>http://en.kfst.dk/Indhold-KFST/English/Decisions/20120229-Radio-Access-Network-sharing-agreement-between-Telia-Denmark-and-Telenor?tc=9726D7CF61454E0A9B6C11D45E8240F3</w:t>
      </w:r>
    </w:p>
  </w:footnote>
  <w:footnote w:id="18">
    <w:p w14:paraId="2BD48A03" w14:textId="77777777" w:rsidR="00273E54" w:rsidRPr="00A163E1" w:rsidRDefault="00273E54" w:rsidP="00A163E1">
      <w:pPr>
        <w:pStyle w:val="Textpoznpodarou"/>
        <w:spacing w:before="0" w:after="0" w:line="276" w:lineRule="auto"/>
        <w:jc w:val="left"/>
        <w:rPr>
          <w:lang w:val="cs-CZ"/>
        </w:rPr>
      </w:pPr>
      <w:r w:rsidRPr="00A163E1">
        <w:rPr>
          <w:rFonts w:cs="Arial"/>
          <w:sz w:val="16"/>
          <w:szCs w:val="16"/>
          <w:vertAlign w:val="superscript"/>
          <w:lang w:val="cs-CZ"/>
        </w:rPr>
        <w:footnoteRef/>
      </w:r>
      <w:r w:rsidRPr="005916AF">
        <w:rPr>
          <w:sz w:val="16"/>
          <w:szCs w:val="16"/>
          <w:lang w:val="cs-CZ"/>
        </w:rPr>
        <w:t>http://europa.eu/rapid/press-release_IP-15-4749_en.htm</w:t>
      </w:r>
    </w:p>
  </w:footnote>
  <w:footnote w:id="19">
    <w:p w14:paraId="13BF50F6"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946BA5">
        <w:rPr>
          <w:rFonts w:cs="Arial"/>
          <w:sz w:val="16"/>
          <w:szCs w:val="16"/>
          <w:lang w:val="cs-CZ"/>
        </w:rPr>
        <w:t>http://www.teliasonera.com/en/newsroom/press-releases/2014/8/teliasonera-and-dna-join-forces-in-network-sharing-in-eastern-and-northern-finland/</w:t>
      </w:r>
    </w:p>
  </w:footnote>
  <w:footnote w:id="20">
    <w:p w14:paraId="2D91A5DD"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946BA5">
        <w:rPr>
          <w:rFonts w:cs="Arial"/>
          <w:sz w:val="16"/>
          <w:szCs w:val="16"/>
          <w:lang w:val="cs-CZ"/>
        </w:rPr>
        <w:t>http://www.kkv.fi/en/current-issues/press-releases/2014/finnish-competition-and-consumer-authoritys-inspections-at-teliasonera-finland-oyj-dna-oy-and-suomen-yhteisverkko-oy/</w:t>
      </w:r>
    </w:p>
  </w:footnote>
  <w:footnote w:id="21">
    <w:p w14:paraId="4794E77A"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lang w:val="cs-CZ"/>
        </w:rPr>
        <w:t xml:space="preserve"> Rozhodnutí Komise ze dne 28. 5. 2014, COMP/M.6992 HUTCHINSON 3G UK/TELEFONICA IRELAND, čl. 47, str. 18</w:t>
      </w:r>
      <w:r>
        <w:rPr>
          <w:rFonts w:cs="Arial"/>
          <w:sz w:val="16"/>
          <w:szCs w:val="16"/>
          <w:lang w:val="cs-CZ"/>
        </w:rPr>
        <w:t>.</w:t>
      </w:r>
      <w:r w:rsidRPr="005B6DAB">
        <w:rPr>
          <w:rFonts w:cs="Arial"/>
          <w:sz w:val="16"/>
          <w:szCs w:val="16"/>
          <w:lang w:val="cs-CZ"/>
        </w:rPr>
        <w:t>(</w:t>
      </w:r>
      <w:r w:rsidRPr="00946BA5">
        <w:rPr>
          <w:rFonts w:cs="Arial"/>
          <w:sz w:val="16"/>
          <w:szCs w:val="16"/>
          <w:lang w:val="cs-CZ"/>
        </w:rPr>
        <w:t>http://ec.europa.eu/competition/mergers/cases/decisions/m6992_20140528_20600_4004267_EN.pdf</w:t>
      </w:r>
      <w:r w:rsidRPr="005B6DAB">
        <w:rPr>
          <w:rFonts w:cs="Arial"/>
          <w:sz w:val="16"/>
          <w:szCs w:val="16"/>
          <w:lang w:val="cs-CZ"/>
        </w:rPr>
        <w:t xml:space="preserve">. </w:t>
      </w:r>
    </w:p>
  </w:footnote>
  <w:footnote w:id="22">
    <w:p w14:paraId="36810525"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rPr>
        <w:t xml:space="preserve"> </w:t>
      </w:r>
      <w:proofErr w:type="spellStart"/>
      <w:r w:rsidRPr="005B6DAB">
        <w:rPr>
          <w:rFonts w:cs="Arial"/>
          <w:sz w:val="16"/>
          <w:szCs w:val="16"/>
          <w:lang w:val="cs-CZ"/>
        </w:rPr>
        <w:t>Ibid</w:t>
      </w:r>
      <w:proofErr w:type="spellEnd"/>
      <w:r w:rsidRPr="005B6DAB">
        <w:rPr>
          <w:rFonts w:cs="Arial"/>
          <w:sz w:val="16"/>
          <w:szCs w:val="16"/>
          <w:lang w:val="cs-CZ"/>
        </w:rPr>
        <w:t>, čl. 52, str. 19.</w:t>
      </w:r>
    </w:p>
  </w:footnote>
  <w:footnote w:id="23">
    <w:p w14:paraId="0EAF1D68"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rPr>
        <w:t xml:space="preserve"> </w:t>
      </w:r>
      <w:proofErr w:type="spellStart"/>
      <w:r w:rsidRPr="005B6DAB">
        <w:rPr>
          <w:rFonts w:cs="Arial"/>
          <w:sz w:val="16"/>
          <w:szCs w:val="16"/>
          <w:lang w:val="cs-CZ"/>
        </w:rPr>
        <w:t>Ibid</w:t>
      </w:r>
      <w:proofErr w:type="spellEnd"/>
      <w:r w:rsidRPr="005B6DAB">
        <w:rPr>
          <w:rFonts w:cs="Arial"/>
          <w:sz w:val="16"/>
          <w:szCs w:val="16"/>
          <w:lang w:val="cs-CZ"/>
        </w:rPr>
        <w:t>, čl. 62, str. 20.</w:t>
      </w:r>
    </w:p>
  </w:footnote>
  <w:footnote w:id="24">
    <w:p w14:paraId="6F07E4C3"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lang w:val="cs-CZ"/>
        </w:rPr>
        <w:t xml:space="preserve"> </w:t>
      </w:r>
      <w:r w:rsidRPr="00946BA5">
        <w:rPr>
          <w:rFonts w:cs="Arial"/>
          <w:sz w:val="16"/>
          <w:szCs w:val="16"/>
          <w:lang w:val="cs-CZ"/>
        </w:rPr>
        <w:t>https://www.telegeography.com/products/commsupdate/articles/2014/09/03/eircom-3-sign-network-sharing-agreement/</w:t>
      </w:r>
    </w:p>
  </w:footnote>
  <w:footnote w:id="25">
    <w:p w14:paraId="1CDFFFB5"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946BA5">
        <w:rPr>
          <w:rFonts w:cs="Arial"/>
          <w:sz w:val="16"/>
          <w:szCs w:val="16"/>
          <w:lang w:val="cs-CZ"/>
        </w:rPr>
        <w:t>http://www.fiercewireless.com/europe/story/eircom-agrees-long-term-network-sharing-deal-3-ireland/2014-08-29</w:t>
      </w:r>
    </w:p>
  </w:footnote>
  <w:footnote w:id="26">
    <w:p w14:paraId="586187C3"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lang w:val="cs-CZ"/>
        </w:rPr>
        <w:t xml:space="preserve"> </w:t>
      </w:r>
      <w:r w:rsidRPr="00946BA5">
        <w:rPr>
          <w:rFonts w:cs="Arial"/>
          <w:sz w:val="16"/>
          <w:szCs w:val="16"/>
          <w:lang w:val="cs-CZ"/>
        </w:rPr>
        <w:t>http://www.comreg.ie/_fileupload/publications/ComReg1453.pdf</w:t>
      </w:r>
    </w:p>
  </w:footnote>
  <w:footnote w:id="27">
    <w:p w14:paraId="30A228D8"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lang w:val="de-DE"/>
        </w:rPr>
        <w:t xml:space="preserve"> </w:t>
      </w:r>
      <w:r w:rsidRPr="005B6DAB">
        <w:rPr>
          <w:rFonts w:cs="Arial"/>
          <w:sz w:val="16"/>
          <w:szCs w:val="16"/>
          <w:lang w:val="cs-CZ"/>
        </w:rPr>
        <w:t xml:space="preserve">Rozhodnutí Komise ze dne 16. 7. 2003 COMP/38.369: T-Mobile </w:t>
      </w:r>
      <w:proofErr w:type="spellStart"/>
      <w:r w:rsidRPr="005B6DAB">
        <w:rPr>
          <w:rFonts w:cs="Arial"/>
          <w:sz w:val="16"/>
          <w:szCs w:val="16"/>
          <w:lang w:val="cs-CZ"/>
        </w:rPr>
        <w:t>Deutschland</w:t>
      </w:r>
      <w:proofErr w:type="spellEnd"/>
      <w:r w:rsidRPr="005B6DAB">
        <w:rPr>
          <w:rFonts w:cs="Arial"/>
          <w:sz w:val="16"/>
          <w:szCs w:val="16"/>
          <w:lang w:val="cs-CZ"/>
        </w:rPr>
        <w:t xml:space="preserve">/O2 </w:t>
      </w:r>
      <w:proofErr w:type="spellStart"/>
      <w:r w:rsidRPr="005B6DAB">
        <w:rPr>
          <w:rFonts w:cs="Arial"/>
          <w:sz w:val="16"/>
          <w:szCs w:val="16"/>
          <w:lang w:val="cs-CZ"/>
        </w:rPr>
        <w:t>Germany</w:t>
      </w:r>
      <w:proofErr w:type="spellEnd"/>
      <w:r w:rsidRPr="005B6DAB">
        <w:rPr>
          <w:rFonts w:cs="Arial"/>
          <w:sz w:val="16"/>
          <w:szCs w:val="16"/>
          <w:lang w:val="cs-CZ"/>
        </w:rPr>
        <w:t>, bod 77 odůvodnění (</w:t>
      </w:r>
      <w:r w:rsidRPr="00946BA5">
        <w:rPr>
          <w:rFonts w:cs="Arial"/>
          <w:sz w:val="16"/>
          <w:szCs w:val="16"/>
          <w:lang w:val="cs-CZ"/>
        </w:rPr>
        <w:t>http://eur-lex.europa.eu/legal-content/EN/TXT/PDF/?uri=CELEX:32004D0207&amp;from=EN</w:t>
      </w:r>
      <w:r w:rsidRPr="005B6DAB">
        <w:rPr>
          <w:rFonts w:cs="Arial"/>
          <w:sz w:val="16"/>
          <w:szCs w:val="16"/>
          <w:lang w:val="cs-CZ"/>
        </w:rPr>
        <w:t xml:space="preserve">). </w:t>
      </w:r>
    </w:p>
  </w:footnote>
  <w:footnote w:id="28">
    <w:p w14:paraId="5805BA9D"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rPr>
        <w:t xml:space="preserve"> </w:t>
      </w:r>
      <w:proofErr w:type="spellStart"/>
      <w:r w:rsidRPr="005B6DAB">
        <w:rPr>
          <w:rFonts w:cs="Arial"/>
          <w:sz w:val="16"/>
          <w:szCs w:val="16"/>
          <w:lang w:val="cs-CZ"/>
        </w:rPr>
        <w:t>Ibid</w:t>
      </w:r>
      <w:proofErr w:type="spellEnd"/>
      <w:r w:rsidRPr="005B6DAB">
        <w:rPr>
          <w:rFonts w:cs="Arial"/>
          <w:sz w:val="16"/>
          <w:szCs w:val="16"/>
          <w:lang w:val="cs-CZ"/>
        </w:rPr>
        <w:t>, bod 77.</w:t>
      </w:r>
    </w:p>
  </w:footnote>
  <w:footnote w:id="29">
    <w:p w14:paraId="6ED4F233"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rPr>
        <w:t xml:space="preserve"> </w:t>
      </w:r>
      <w:proofErr w:type="spellStart"/>
      <w:r w:rsidRPr="005B6DAB">
        <w:rPr>
          <w:rFonts w:cs="Arial"/>
          <w:sz w:val="16"/>
          <w:szCs w:val="16"/>
          <w:lang w:val="cs-CZ"/>
        </w:rPr>
        <w:t>Ibid</w:t>
      </w:r>
      <w:proofErr w:type="spellEnd"/>
      <w:r w:rsidRPr="005B6DAB">
        <w:rPr>
          <w:rFonts w:cs="Arial"/>
          <w:sz w:val="16"/>
          <w:szCs w:val="16"/>
          <w:lang w:val="cs-CZ"/>
        </w:rPr>
        <w:t>, bod 24.</w:t>
      </w:r>
    </w:p>
  </w:footnote>
  <w:footnote w:id="30">
    <w:p w14:paraId="7A5C6E35"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rPr>
        <w:t xml:space="preserve"> </w:t>
      </w:r>
      <w:proofErr w:type="spellStart"/>
      <w:r w:rsidRPr="005B6DAB">
        <w:rPr>
          <w:rFonts w:cs="Arial"/>
          <w:sz w:val="16"/>
          <w:szCs w:val="16"/>
          <w:lang w:val="cs-CZ"/>
        </w:rPr>
        <w:t>Ibid</w:t>
      </w:r>
      <w:proofErr w:type="spellEnd"/>
      <w:r w:rsidRPr="005B6DAB">
        <w:rPr>
          <w:rFonts w:cs="Arial"/>
          <w:sz w:val="16"/>
          <w:szCs w:val="16"/>
          <w:lang w:val="cs-CZ"/>
        </w:rPr>
        <w:t>, bod 30.</w:t>
      </w:r>
    </w:p>
  </w:footnote>
  <w:footnote w:id="31">
    <w:p w14:paraId="46FCE5CF"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A163E1">
        <w:rPr>
          <w:rFonts w:cs="Arial"/>
          <w:sz w:val="16"/>
          <w:szCs w:val="16"/>
          <w:lang w:val="cs-CZ"/>
        </w:rPr>
        <w:t xml:space="preserve"> </w:t>
      </w:r>
      <w:proofErr w:type="spellStart"/>
      <w:r w:rsidRPr="005B6DAB">
        <w:rPr>
          <w:rFonts w:cs="Arial"/>
          <w:sz w:val="16"/>
          <w:szCs w:val="16"/>
          <w:lang w:val="cs-CZ"/>
        </w:rPr>
        <w:t>Ibid</w:t>
      </w:r>
      <w:proofErr w:type="spellEnd"/>
      <w:r w:rsidRPr="005B6DAB">
        <w:rPr>
          <w:rFonts w:cs="Arial"/>
          <w:sz w:val="16"/>
          <w:szCs w:val="16"/>
          <w:lang w:val="cs-CZ"/>
        </w:rPr>
        <w:t>, bod 104.</w:t>
      </w:r>
    </w:p>
  </w:footnote>
  <w:footnote w:id="32">
    <w:p w14:paraId="6F090818"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A163E1">
        <w:rPr>
          <w:rFonts w:cs="Arial"/>
          <w:sz w:val="16"/>
          <w:szCs w:val="16"/>
          <w:lang w:val="cs-CZ"/>
        </w:rPr>
        <w:t xml:space="preserve"> </w:t>
      </w:r>
      <w:proofErr w:type="spellStart"/>
      <w:r w:rsidRPr="005B6DAB">
        <w:rPr>
          <w:rFonts w:cs="Arial"/>
          <w:sz w:val="16"/>
          <w:szCs w:val="16"/>
          <w:lang w:val="cs-CZ"/>
        </w:rPr>
        <w:t>Ibid</w:t>
      </w:r>
      <w:proofErr w:type="spellEnd"/>
      <w:r w:rsidRPr="005B6DAB">
        <w:rPr>
          <w:rFonts w:cs="Arial"/>
          <w:sz w:val="16"/>
          <w:szCs w:val="16"/>
          <w:lang w:val="cs-CZ"/>
        </w:rPr>
        <w:t>, bod 30.</w:t>
      </w:r>
    </w:p>
  </w:footnote>
  <w:footnote w:id="33">
    <w:p w14:paraId="48886F03"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A163E1">
        <w:rPr>
          <w:rFonts w:cs="Arial"/>
          <w:sz w:val="16"/>
          <w:szCs w:val="16"/>
          <w:lang w:val="cs-CZ"/>
        </w:rPr>
        <w:t xml:space="preserve"> </w:t>
      </w:r>
      <w:proofErr w:type="spellStart"/>
      <w:r w:rsidRPr="00A163E1">
        <w:rPr>
          <w:rFonts w:cs="Arial"/>
          <w:sz w:val="16"/>
          <w:szCs w:val="16"/>
          <w:lang w:val="cs-CZ"/>
        </w:rPr>
        <w:t>Ibid</w:t>
      </w:r>
      <w:proofErr w:type="spellEnd"/>
      <w:r w:rsidRPr="00A163E1">
        <w:rPr>
          <w:rFonts w:cs="Arial"/>
          <w:sz w:val="16"/>
          <w:szCs w:val="16"/>
          <w:lang w:val="cs-CZ"/>
        </w:rPr>
        <w:t xml:space="preserve">, články 1, 2 a 3 Rozhodnutí. </w:t>
      </w:r>
    </w:p>
  </w:footnote>
  <w:footnote w:id="34">
    <w:p w14:paraId="3517AE51"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lang w:val="cs-CZ"/>
        </w:rPr>
        <w:t xml:space="preserve"> Rozsudek Soudu prvního stupně ES ze dne 2. 5. 2006 ve věci T-328/03, čl. 52 a 68 (</w:t>
      </w:r>
      <w:r w:rsidRPr="00946BA5">
        <w:rPr>
          <w:rFonts w:cs="Arial"/>
          <w:sz w:val="16"/>
          <w:szCs w:val="16"/>
          <w:lang w:val="cs-CZ"/>
        </w:rPr>
        <w:t>http://eur-lex.europa.eu/legal-content/cs/TXT/PDF/?uri=CELEX:62003TJ0328&amp;rid=1</w:t>
      </w:r>
      <w:r w:rsidRPr="005B6DAB">
        <w:rPr>
          <w:rFonts w:cs="Arial"/>
          <w:sz w:val="16"/>
          <w:szCs w:val="16"/>
          <w:lang w:val="cs-CZ"/>
        </w:rPr>
        <w:t xml:space="preserve">). </w:t>
      </w:r>
    </w:p>
  </w:footnote>
  <w:footnote w:id="35">
    <w:p w14:paraId="6887264D"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rPr>
        <w:t xml:space="preserve"> </w:t>
      </w:r>
      <w:r w:rsidRPr="005B6DAB">
        <w:rPr>
          <w:rFonts w:cs="Arial"/>
          <w:sz w:val="16"/>
          <w:szCs w:val="16"/>
          <w:lang w:val="cs-CZ"/>
        </w:rPr>
        <w:t>Rozhodnutí Komise COMP/38.369, b. 19 a 20.</w:t>
      </w:r>
    </w:p>
  </w:footnote>
  <w:footnote w:id="36">
    <w:p w14:paraId="23D53FC0"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rPr>
        <w:t xml:space="preserve"> </w:t>
      </w:r>
      <w:proofErr w:type="spellStart"/>
      <w:r w:rsidRPr="005B6DAB">
        <w:rPr>
          <w:rFonts w:cs="Arial"/>
          <w:sz w:val="16"/>
          <w:szCs w:val="16"/>
          <w:lang w:val="cs-CZ"/>
        </w:rPr>
        <w:t>Ibid</w:t>
      </w:r>
      <w:proofErr w:type="spellEnd"/>
      <w:r w:rsidRPr="005B6DAB">
        <w:rPr>
          <w:rFonts w:cs="Arial"/>
          <w:sz w:val="16"/>
          <w:szCs w:val="16"/>
          <w:lang w:val="cs-CZ"/>
        </w:rPr>
        <w:t>, bod 21.</w:t>
      </w:r>
    </w:p>
  </w:footnote>
  <w:footnote w:id="37">
    <w:p w14:paraId="46FB722E"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rPr>
        <w:t xml:space="preserve"> Shared use of wireless infrastructures and spectrum resources, 2010 (</w:t>
      </w:r>
      <w:r w:rsidRPr="00946BA5">
        <w:rPr>
          <w:rFonts w:cs="Arial"/>
          <w:sz w:val="16"/>
          <w:szCs w:val="16"/>
        </w:rPr>
        <w:t>http://www.bundesnetzagentur.de/cln_1421/EN/Areas/Telecommunications/Companies/FrequencyManagement/InfrastructureSharing/InfrastructureSharing_node.html</w:t>
      </w:r>
      <w:r w:rsidRPr="005B6DAB">
        <w:rPr>
          <w:rFonts w:cs="Arial"/>
          <w:sz w:val="16"/>
          <w:szCs w:val="16"/>
        </w:rPr>
        <w:t xml:space="preserve">).  </w:t>
      </w:r>
    </w:p>
  </w:footnote>
  <w:footnote w:id="38">
    <w:p w14:paraId="375828DA"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lang w:val="cs-CZ"/>
        </w:rPr>
        <w:t xml:space="preserve"> </w:t>
      </w:r>
      <w:r w:rsidRPr="00946BA5">
        <w:rPr>
          <w:rFonts w:cs="Arial"/>
          <w:sz w:val="16"/>
          <w:szCs w:val="16"/>
          <w:lang w:val="cs-CZ"/>
        </w:rPr>
        <w:t>https://www.telegeography.com/products/commsupdate/articles/2011/07/22/t-mobile-and-orange-share-their-networks/</w:t>
      </w:r>
    </w:p>
  </w:footnote>
  <w:footnote w:id="39">
    <w:p w14:paraId="4C23FA60" w14:textId="77777777" w:rsidR="00273E54" w:rsidRPr="00946BA5"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lang w:val="cs-CZ"/>
        </w:rPr>
        <w:t xml:space="preserve"> </w:t>
      </w:r>
      <w:r w:rsidRPr="00946BA5">
        <w:rPr>
          <w:rFonts w:cs="Arial"/>
          <w:sz w:val="16"/>
          <w:szCs w:val="16"/>
          <w:lang w:val="cs-CZ"/>
        </w:rPr>
        <w:t>https://www.telegeography.com/products/commsupdate/articles/2013/09/11/networks-partnership-expanded-to-include-4g/</w:t>
      </w:r>
    </w:p>
  </w:footnote>
  <w:footnote w:id="40">
    <w:p w14:paraId="1B492425"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946BA5">
        <w:rPr>
          <w:rFonts w:cs="Arial"/>
          <w:sz w:val="16"/>
          <w:szCs w:val="16"/>
          <w:lang w:val="cs-CZ"/>
        </w:rPr>
        <w:t>https://www.telegeography.com/products/commsupdate/articles/2012/01/03/t-mobile-h3g-to-share-3g-networks-from-july-2012/</w:t>
      </w:r>
    </w:p>
  </w:footnote>
  <w:footnote w:id="41">
    <w:p w14:paraId="5FFC6F2A"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rPr>
        <w:t xml:space="preserve"> </w:t>
      </w:r>
      <w:r w:rsidRPr="00946BA5">
        <w:rPr>
          <w:rFonts w:cs="Arial"/>
          <w:sz w:val="16"/>
          <w:szCs w:val="16"/>
        </w:rPr>
        <w:t>Ibid</w:t>
      </w:r>
    </w:p>
  </w:footnote>
  <w:footnote w:id="42">
    <w:p w14:paraId="72418249"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rPr>
        <w:t xml:space="preserve"> </w:t>
      </w:r>
      <w:r w:rsidRPr="005B6DAB">
        <w:rPr>
          <w:rFonts w:cs="Arial"/>
          <w:sz w:val="16"/>
          <w:szCs w:val="16"/>
          <w:lang w:val="cs-CZ"/>
        </w:rPr>
        <w:t xml:space="preserve">CMS Network </w:t>
      </w:r>
      <w:proofErr w:type="spellStart"/>
      <w:r w:rsidRPr="005B6DAB">
        <w:rPr>
          <w:rFonts w:cs="Arial"/>
          <w:sz w:val="16"/>
          <w:szCs w:val="16"/>
          <w:lang w:val="cs-CZ"/>
        </w:rPr>
        <w:t>Sharing</w:t>
      </w:r>
      <w:proofErr w:type="spellEnd"/>
      <w:r w:rsidRPr="005B6DAB">
        <w:rPr>
          <w:rFonts w:cs="Arial"/>
          <w:sz w:val="16"/>
          <w:szCs w:val="16"/>
          <w:lang w:val="cs-CZ"/>
        </w:rPr>
        <w:t xml:space="preserve"> Study 2014, str. 16 (</w:t>
      </w:r>
      <w:r w:rsidRPr="00946BA5">
        <w:rPr>
          <w:rFonts w:cs="Arial"/>
          <w:sz w:val="16"/>
          <w:szCs w:val="16"/>
          <w:lang w:val="cs-CZ"/>
        </w:rPr>
        <w:t>http://www.cms-dsb.com/Hubbard.FileSystem/files/Publication/a71b70bd-5288-4fab-9357-41e9478c5b81/Presentation/PublicationAttachment/287eff67-2fa8-411b-b067-4952106e12b7/CMS%20Network%20Sharing%20Study%202014_a.pdf</w:t>
      </w:r>
      <w:r w:rsidRPr="005B6DAB">
        <w:rPr>
          <w:rFonts w:cs="Arial"/>
          <w:sz w:val="16"/>
          <w:szCs w:val="16"/>
          <w:lang w:val="cs-CZ"/>
        </w:rPr>
        <w:t xml:space="preserve">). </w:t>
      </w:r>
    </w:p>
  </w:footnote>
  <w:footnote w:id="43">
    <w:p w14:paraId="5630172A" w14:textId="77777777" w:rsidR="00273E54" w:rsidRPr="005B6DAB" w:rsidRDefault="00273E54" w:rsidP="00A163E1">
      <w:pPr>
        <w:pStyle w:val="Textpoznpodarou"/>
        <w:spacing w:before="0" w:after="0" w:line="276" w:lineRule="auto"/>
        <w:jc w:val="left"/>
        <w:rPr>
          <w:rFonts w:cs="Arial"/>
          <w:sz w:val="16"/>
          <w:szCs w:val="16"/>
        </w:rPr>
      </w:pPr>
      <w:r w:rsidRPr="005B6DAB">
        <w:rPr>
          <w:rStyle w:val="Znakapoznpodarou"/>
          <w:rFonts w:cs="Arial"/>
          <w:sz w:val="16"/>
          <w:szCs w:val="16"/>
        </w:rPr>
        <w:footnoteRef/>
      </w:r>
      <w:r w:rsidRPr="005B6DAB">
        <w:rPr>
          <w:rFonts w:cs="Arial"/>
          <w:sz w:val="16"/>
          <w:szCs w:val="16"/>
        </w:rPr>
        <w:t xml:space="preserve"> Telekom-Control Commission Position Paper: Infrastructure Sharing in Mobile Networks, 2011, str. 7. (</w:t>
      </w:r>
      <w:r w:rsidRPr="00946BA5">
        <w:rPr>
          <w:rFonts w:cs="Arial"/>
          <w:sz w:val="16"/>
          <w:szCs w:val="16"/>
        </w:rPr>
        <w:t>https://www.rtr.at/en/tk/TKKPosition2011</w:t>
      </w:r>
      <w:proofErr w:type="gramStart"/>
      <w:r w:rsidRPr="005B6DAB">
        <w:rPr>
          <w:rFonts w:cs="Arial"/>
          <w:sz w:val="16"/>
          <w:szCs w:val="16"/>
        </w:rPr>
        <w:t>) .</w:t>
      </w:r>
      <w:proofErr w:type="gramEnd"/>
    </w:p>
  </w:footnote>
  <w:footnote w:id="44">
    <w:p w14:paraId="0DF58EC9"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rPr>
        <w:t xml:space="preserve"> </w:t>
      </w:r>
      <w:r w:rsidRPr="005B6DAB">
        <w:rPr>
          <w:rFonts w:cs="Arial"/>
          <w:sz w:val="16"/>
          <w:szCs w:val="16"/>
          <w:lang w:val="cs-CZ"/>
        </w:rPr>
        <w:t xml:space="preserve">CMS Network </w:t>
      </w:r>
      <w:proofErr w:type="spellStart"/>
      <w:r w:rsidRPr="005B6DAB">
        <w:rPr>
          <w:rFonts w:cs="Arial"/>
          <w:sz w:val="16"/>
          <w:szCs w:val="16"/>
          <w:lang w:val="cs-CZ"/>
        </w:rPr>
        <w:t>Sharing</w:t>
      </w:r>
      <w:proofErr w:type="spellEnd"/>
      <w:r w:rsidRPr="005B6DAB">
        <w:rPr>
          <w:rFonts w:cs="Arial"/>
          <w:sz w:val="16"/>
          <w:szCs w:val="16"/>
          <w:lang w:val="cs-CZ"/>
        </w:rPr>
        <w:t xml:space="preserve"> Study 2014, str. 16.</w:t>
      </w:r>
    </w:p>
  </w:footnote>
  <w:footnote w:id="45">
    <w:p w14:paraId="20737769"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lang w:val="cs-CZ"/>
        </w:rPr>
        <w:t xml:space="preserve"> https://www.telegeography.com/products/commsupdate/articles/2007/10/12/orange-and-vodafone-make-3g-network-sharing-pact/</w:t>
      </w:r>
    </w:p>
  </w:footnote>
  <w:footnote w:id="46">
    <w:p w14:paraId="08B8A814"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lang w:val="cs-CZ"/>
        </w:rPr>
        <w:t xml:space="preserve"> https://www.telegeography.com/products/commsupdate/articles/2013/03/14/spanish-units-of-vodafone-and-orange-to-roll-out-joint-fibre-network/</w:t>
      </w:r>
    </w:p>
  </w:footnote>
  <w:footnote w:id="47">
    <w:p w14:paraId="2F14ABD5"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946BA5">
        <w:rPr>
          <w:rFonts w:cs="Arial"/>
          <w:sz w:val="16"/>
          <w:szCs w:val="16"/>
          <w:lang w:val="cs-CZ"/>
        </w:rPr>
        <w:t>https://www.telegeography.com/products/commsupdate/articles/2014/01/10/vodafone-orange-in-new-network-sharing-agreement/</w:t>
      </w:r>
    </w:p>
  </w:footnote>
  <w:footnote w:id="48">
    <w:p w14:paraId="4710D66E"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lang w:val="cs-CZ"/>
        </w:rPr>
        <w:t xml:space="preserve"> </w:t>
      </w:r>
      <w:r w:rsidRPr="00946BA5">
        <w:rPr>
          <w:rFonts w:cs="Arial"/>
          <w:sz w:val="16"/>
          <w:szCs w:val="16"/>
          <w:lang w:val="cs-CZ"/>
        </w:rPr>
        <w:t>https://www.telegeography.com/products/commsupdate/articles/2008/01/18/orange-and-yoigo-to-share-networks/</w:t>
      </w:r>
    </w:p>
  </w:footnote>
  <w:footnote w:id="49">
    <w:p w14:paraId="6BFF21CF"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lang w:val="cs-CZ"/>
        </w:rPr>
        <w:t xml:space="preserve"> </w:t>
      </w:r>
      <w:r w:rsidRPr="00946BA5">
        <w:rPr>
          <w:rFonts w:cs="Arial"/>
          <w:sz w:val="16"/>
          <w:szCs w:val="16"/>
          <w:lang w:val="cs-CZ"/>
        </w:rPr>
        <w:t>https://www.telegeography.com/products/commsupdate/articles/2009/03/23/telefonica-and-vodafone-sign-infrastructure-deal/</w:t>
      </w:r>
    </w:p>
  </w:footnote>
  <w:footnote w:id="50">
    <w:p w14:paraId="35C0F8F6"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946BA5">
        <w:rPr>
          <w:rFonts w:cs="Arial"/>
          <w:sz w:val="16"/>
          <w:szCs w:val="16"/>
          <w:lang w:val="cs-CZ"/>
        </w:rPr>
        <w:t>https://www.telegeography.com/products/commsupdate/articles/2008/03/12/telefonica-and-yoigo-announce-network-sharing-agreement/</w:t>
      </w:r>
    </w:p>
  </w:footnote>
  <w:footnote w:id="51">
    <w:p w14:paraId="471BCB76"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946BA5">
        <w:rPr>
          <w:rFonts w:cs="Arial"/>
          <w:sz w:val="16"/>
          <w:szCs w:val="16"/>
          <w:lang w:val="cs-CZ"/>
        </w:rPr>
        <w:t>https://www.telegeography.com/products/commsupdate/articles/2013/08/02/telefonica-inks-deal-for-access-to-yoigos-lte-network/</w:t>
      </w:r>
    </w:p>
  </w:footnote>
  <w:footnote w:id="52">
    <w:p w14:paraId="10593C65"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lang w:val="cs-CZ"/>
        </w:rPr>
        <w:t xml:space="preserve"> </w:t>
      </w:r>
      <w:r w:rsidRPr="00946BA5">
        <w:rPr>
          <w:rFonts w:cs="Arial"/>
          <w:sz w:val="16"/>
          <w:szCs w:val="16"/>
          <w:lang w:val="cs-CZ"/>
        </w:rPr>
        <w:t>https://www.telegeography.com/products/commsupdate/articles/2012/03/09/teliasonera-reaches-100000-lte-users-prepares-for-upsurge-this-year/</w:t>
      </w:r>
    </w:p>
  </w:footnote>
  <w:footnote w:id="53">
    <w:p w14:paraId="4A6EAFF4"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rPr>
        <w:t xml:space="preserve"> </w:t>
      </w:r>
      <w:r w:rsidRPr="005B6DAB">
        <w:rPr>
          <w:rFonts w:cs="Arial"/>
          <w:sz w:val="16"/>
          <w:szCs w:val="16"/>
          <w:lang w:val="cs-CZ"/>
        </w:rPr>
        <w:t xml:space="preserve">Joint RSPG/BEREC Report on </w:t>
      </w:r>
      <w:proofErr w:type="spellStart"/>
      <w:r w:rsidRPr="005B6DAB">
        <w:rPr>
          <w:rFonts w:cs="Arial"/>
          <w:sz w:val="16"/>
          <w:szCs w:val="16"/>
          <w:lang w:val="cs-CZ"/>
        </w:rPr>
        <w:t>Infrastructure</w:t>
      </w:r>
      <w:proofErr w:type="spellEnd"/>
      <w:r w:rsidRPr="005B6DAB">
        <w:rPr>
          <w:rFonts w:cs="Arial"/>
          <w:sz w:val="16"/>
          <w:szCs w:val="16"/>
          <w:lang w:val="cs-CZ"/>
        </w:rPr>
        <w:t xml:space="preserve"> and </w:t>
      </w:r>
      <w:proofErr w:type="spellStart"/>
      <w:r w:rsidRPr="005B6DAB">
        <w:rPr>
          <w:rFonts w:cs="Arial"/>
          <w:sz w:val="16"/>
          <w:szCs w:val="16"/>
          <w:lang w:val="cs-CZ"/>
        </w:rPr>
        <w:t>spectrum</w:t>
      </w:r>
      <w:proofErr w:type="spellEnd"/>
      <w:r w:rsidRPr="005B6DAB">
        <w:rPr>
          <w:rFonts w:cs="Arial"/>
          <w:sz w:val="16"/>
          <w:szCs w:val="16"/>
          <w:lang w:val="cs-CZ"/>
        </w:rPr>
        <w:t xml:space="preserve"> </w:t>
      </w:r>
      <w:proofErr w:type="spellStart"/>
      <w:r w:rsidRPr="005B6DAB">
        <w:rPr>
          <w:rFonts w:cs="Arial"/>
          <w:sz w:val="16"/>
          <w:szCs w:val="16"/>
          <w:lang w:val="cs-CZ"/>
        </w:rPr>
        <w:t>sharing</w:t>
      </w:r>
      <w:proofErr w:type="spellEnd"/>
      <w:r w:rsidRPr="005B6DAB">
        <w:rPr>
          <w:rFonts w:cs="Arial"/>
          <w:sz w:val="16"/>
          <w:szCs w:val="16"/>
          <w:lang w:val="cs-CZ"/>
        </w:rPr>
        <w:t xml:space="preserve"> in mobile/</w:t>
      </w:r>
      <w:proofErr w:type="spellStart"/>
      <w:r w:rsidRPr="005B6DAB">
        <w:rPr>
          <w:rFonts w:cs="Arial"/>
          <w:sz w:val="16"/>
          <w:szCs w:val="16"/>
          <w:lang w:val="cs-CZ"/>
        </w:rPr>
        <w:t>wireless</w:t>
      </w:r>
      <w:proofErr w:type="spellEnd"/>
      <w:r w:rsidRPr="005B6DAB">
        <w:rPr>
          <w:rFonts w:cs="Arial"/>
          <w:sz w:val="16"/>
          <w:szCs w:val="16"/>
          <w:lang w:val="cs-CZ"/>
        </w:rPr>
        <w:t xml:space="preserve"> </w:t>
      </w:r>
      <w:proofErr w:type="spellStart"/>
      <w:r w:rsidRPr="005B6DAB">
        <w:rPr>
          <w:rFonts w:cs="Arial"/>
          <w:sz w:val="16"/>
          <w:szCs w:val="16"/>
          <w:lang w:val="cs-CZ"/>
        </w:rPr>
        <w:t>networks</w:t>
      </w:r>
      <w:proofErr w:type="spellEnd"/>
      <w:r w:rsidRPr="005B6DAB">
        <w:rPr>
          <w:rFonts w:cs="Arial"/>
          <w:sz w:val="16"/>
          <w:szCs w:val="16"/>
          <w:lang w:val="cs-CZ"/>
        </w:rPr>
        <w:t>, 2011, str. 20 (</w:t>
      </w:r>
      <w:r w:rsidRPr="00946BA5">
        <w:rPr>
          <w:rFonts w:cs="Arial"/>
          <w:sz w:val="16"/>
          <w:szCs w:val="16"/>
          <w:lang w:val="cs-CZ"/>
        </w:rPr>
        <w:t>http://rspg-spectrum.eu/wp-content/uploads/2013/05/rspg11-374_final_joint_rspg_berec_report.pdf</w:t>
      </w:r>
      <w:r w:rsidRPr="005B6DAB">
        <w:rPr>
          <w:rFonts w:cs="Arial"/>
          <w:sz w:val="16"/>
          <w:szCs w:val="16"/>
          <w:lang w:val="cs-CZ"/>
        </w:rPr>
        <w:t xml:space="preserve">). </w:t>
      </w:r>
    </w:p>
  </w:footnote>
  <w:footnote w:id="54">
    <w:p w14:paraId="13610580"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rPr>
        <w:t xml:space="preserve"> </w:t>
      </w:r>
      <w:r w:rsidRPr="005B6DAB">
        <w:rPr>
          <w:rFonts w:cs="Arial"/>
          <w:sz w:val="16"/>
          <w:szCs w:val="16"/>
          <w:lang w:val="cs-CZ"/>
        </w:rPr>
        <w:t xml:space="preserve">GSMA: Mobile </w:t>
      </w:r>
      <w:proofErr w:type="spellStart"/>
      <w:r w:rsidRPr="005B6DAB">
        <w:rPr>
          <w:rFonts w:cs="Arial"/>
          <w:sz w:val="16"/>
          <w:szCs w:val="16"/>
          <w:lang w:val="cs-CZ"/>
        </w:rPr>
        <w:t>Infrastructure</w:t>
      </w:r>
      <w:proofErr w:type="spellEnd"/>
      <w:r w:rsidRPr="005B6DAB">
        <w:rPr>
          <w:rFonts w:cs="Arial"/>
          <w:sz w:val="16"/>
          <w:szCs w:val="16"/>
          <w:lang w:val="cs-CZ"/>
        </w:rPr>
        <w:t xml:space="preserve"> </w:t>
      </w:r>
      <w:proofErr w:type="spellStart"/>
      <w:r w:rsidRPr="005B6DAB">
        <w:rPr>
          <w:rFonts w:cs="Arial"/>
          <w:sz w:val="16"/>
          <w:szCs w:val="16"/>
          <w:lang w:val="cs-CZ"/>
        </w:rPr>
        <w:t>Sharing</w:t>
      </w:r>
      <w:proofErr w:type="spellEnd"/>
      <w:r w:rsidRPr="005B6DAB">
        <w:rPr>
          <w:rFonts w:cs="Arial"/>
          <w:sz w:val="16"/>
          <w:szCs w:val="16"/>
          <w:lang w:val="cs-CZ"/>
        </w:rPr>
        <w:t xml:space="preserve">, 2012, </w:t>
      </w:r>
      <w:proofErr w:type="spellStart"/>
      <w:r w:rsidRPr="005B6DAB">
        <w:rPr>
          <w:rFonts w:cs="Arial"/>
          <w:sz w:val="16"/>
          <w:szCs w:val="16"/>
          <w:lang w:val="cs-CZ"/>
        </w:rPr>
        <w:t>Appendix</w:t>
      </w:r>
      <w:proofErr w:type="spellEnd"/>
      <w:r w:rsidRPr="005B6DAB">
        <w:rPr>
          <w:rFonts w:cs="Arial"/>
          <w:sz w:val="16"/>
          <w:szCs w:val="16"/>
          <w:lang w:val="cs-CZ"/>
        </w:rPr>
        <w:t xml:space="preserve"> 1 Country </w:t>
      </w:r>
      <w:proofErr w:type="spellStart"/>
      <w:r w:rsidRPr="005B6DAB">
        <w:rPr>
          <w:rFonts w:cs="Arial"/>
          <w:sz w:val="16"/>
          <w:szCs w:val="16"/>
          <w:lang w:val="cs-CZ"/>
        </w:rPr>
        <w:t>Examples</w:t>
      </w:r>
      <w:proofErr w:type="spellEnd"/>
      <w:r w:rsidRPr="005B6DAB">
        <w:rPr>
          <w:rFonts w:cs="Arial"/>
          <w:sz w:val="16"/>
          <w:szCs w:val="16"/>
          <w:lang w:val="cs-CZ"/>
        </w:rPr>
        <w:t xml:space="preserve">, Country: </w:t>
      </w:r>
      <w:proofErr w:type="spellStart"/>
      <w:r w:rsidRPr="005B6DAB">
        <w:rPr>
          <w:rFonts w:cs="Arial"/>
          <w:sz w:val="16"/>
          <w:szCs w:val="16"/>
          <w:lang w:val="cs-CZ"/>
        </w:rPr>
        <w:t>Sweden</w:t>
      </w:r>
      <w:proofErr w:type="spellEnd"/>
      <w:r w:rsidRPr="005B6DAB">
        <w:rPr>
          <w:rFonts w:cs="Arial"/>
          <w:sz w:val="16"/>
          <w:szCs w:val="16"/>
          <w:lang w:val="cs-CZ"/>
        </w:rPr>
        <w:t xml:space="preserve">. </w:t>
      </w:r>
    </w:p>
  </w:footnote>
  <w:footnote w:id="55">
    <w:p w14:paraId="0C1CBB85"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lang w:val="cs-CZ"/>
        </w:rPr>
        <w:t xml:space="preserve"> Joint RSPG/BEREC Report, 2011, str. 21. </w:t>
      </w:r>
    </w:p>
  </w:footnote>
  <w:footnote w:id="56">
    <w:p w14:paraId="4552A3C0"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lang w:val="cs-CZ"/>
        </w:rPr>
        <w:t xml:space="preserve"> </w:t>
      </w:r>
      <w:r w:rsidRPr="00946BA5">
        <w:rPr>
          <w:rFonts w:cs="Arial"/>
          <w:sz w:val="16"/>
          <w:szCs w:val="16"/>
          <w:lang w:val="cs-CZ"/>
        </w:rPr>
        <w:t>http://www.telenor.com/media/press-releases/2009/telenor-and-tele2-to-build-joint-4g-network-in-sweden/</w:t>
      </w:r>
    </w:p>
  </w:footnote>
  <w:footnote w:id="57">
    <w:p w14:paraId="0E60CCB4"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lang w:val="de-DE"/>
        </w:rPr>
        <w:t xml:space="preserve"> </w:t>
      </w:r>
      <w:r w:rsidRPr="005B6DAB">
        <w:rPr>
          <w:rFonts w:cs="Arial"/>
          <w:sz w:val="16"/>
          <w:szCs w:val="16"/>
          <w:lang w:val="cs-CZ"/>
        </w:rPr>
        <w:t>Rozhodnutí Komise ze dne 30. 4. 2003 COMP/38.370, čl. 78 (</w:t>
      </w:r>
      <w:r w:rsidRPr="00946BA5">
        <w:rPr>
          <w:rFonts w:cs="Arial"/>
          <w:sz w:val="16"/>
          <w:szCs w:val="16"/>
          <w:lang w:val="cs-CZ"/>
        </w:rPr>
        <w:t>http://eur-lex.europa.eu/legal-content/EN/TXT/PDF/?uri=CELEX:32003D0570&amp;qid=1426599195232&amp;from=CS</w:t>
      </w:r>
      <w:r w:rsidRPr="005B6DAB">
        <w:rPr>
          <w:rFonts w:cs="Arial"/>
          <w:sz w:val="16"/>
          <w:szCs w:val="16"/>
          <w:lang w:val="cs-CZ"/>
        </w:rPr>
        <w:t xml:space="preserve">). </w:t>
      </w:r>
    </w:p>
  </w:footnote>
  <w:footnote w:id="58">
    <w:p w14:paraId="3299C199"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lang w:val="cs-CZ"/>
        </w:rPr>
        <w:t xml:space="preserve"> </w:t>
      </w:r>
      <w:proofErr w:type="spellStart"/>
      <w:r w:rsidRPr="005B6DAB">
        <w:rPr>
          <w:rFonts w:cs="Arial"/>
          <w:sz w:val="16"/>
          <w:szCs w:val="16"/>
          <w:lang w:val="cs-CZ"/>
        </w:rPr>
        <w:t>Ibid</w:t>
      </w:r>
      <w:proofErr w:type="spellEnd"/>
      <w:r w:rsidRPr="005B6DAB">
        <w:rPr>
          <w:rFonts w:cs="Arial"/>
          <w:sz w:val="16"/>
          <w:szCs w:val="16"/>
          <w:lang w:val="cs-CZ"/>
        </w:rPr>
        <w:t>, čl. 20.</w:t>
      </w:r>
    </w:p>
  </w:footnote>
  <w:footnote w:id="59">
    <w:p w14:paraId="4FA4EADD"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lang w:val="cs-CZ"/>
        </w:rPr>
        <w:t xml:space="preserve"> </w:t>
      </w:r>
      <w:proofErr w:type="spellStart"/>
      <w:r w:rsidRPr="005B6DAB">
        <w:rPr>
          <w:rFonts w:cs="Arial"/>
          <w:sz w:val="16"/>
          <w:szCs w:val="16"/>
          <w:lang w:val="cs-CZ"/>
        </w:rPr>
        <w:t>Ibid</w:t>
      </w:r>
      <w:proofErr w:type="spellEnd"/>
      <w:r w:rsidRPr="005B6DAB">
        <w:rPr>
          <w:rFonts w:cs="Arial"/>
          <w:sz w:val="16"/>
          <w:szCs w:val="16"/>
          <w:lang w:val="cs-CZ"/>
        </w:rPr>
        <w:t>, čl. 29.</w:t>
      </w:r>
    </w:p>
  </w:footnote>
  <w:footnote w:id="60">
    <w:p w14:paraId="04D309CA"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lang w:val="cs-CZ"/>
        </w:rPr>
        <w:t xml:space="preserve"> </w:t>
      </w:r>
      <w:proofErr w:type="spellStart"/>
      <w:r w:rsidRPr="005B6DAB">
        <w:rPr>
          <w:rFonts w:cs="Arial"/>
          <w:sz w:val="16"/>
          <w:szCs w:val="16"/>
          <w:lang w:val="cs-CZ"/>
        </w:rPr>
        <w:t>Ibid</w:t>
      </w:r>
      <w:proofErr w:type="spellEnd"/>
      <w:r w:rsidRPr="005B6DAB">
        <w:rPr>
          <w:rFonts w:cs="Arial"/>
          <w:sz w:val="16"/>
          <w:szCs w:val="16"/>
          <w:lang w:val="cs-CZ"/>
        </w:rPr>
        <w:t xml:space="preserve">, články 1, 2 a 3 Rozhodnutí. </w:t>
      </w:r>
    </w:p>
  </w:footnote>
  <w:footnote w:id="61">
    <w:p w14:paraId="2F2B3445"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Pr>
          <w:rFonts w:cs="Arial"/>
          <w:sz w:val="16"/>
          <w:szCs w:val="16"/>
          <w:lang w:val="cs-CZ"/>
        </w:rPr>
        <w:t>OFCOM</w:t>
      </w:r>
      <w:r w:rsidRPr="005B6DAB">
        <w:rPr>
          <w:rFonts w:cs="Arial"/>
          <w:sz w:val="16"/>
          <w:szCs w:val="16"/>
          <w:lang w:val="cs-CZ"/>
        </w:rPr>
        <w:t xml:space="preserve">, Mobile </w:t>
      </w:r>
      <w:proofErr w:type="spellStart"/>
      <w:r w:rsidRPr="005B6DAB">
        <w:rPr>
          <w:rFonts w:cs="Arial"/>
          <w:sz w:val="16"/>
          <w:szCs w:val="16"/>
          <w:lang w:val="cs-CZ"/>
        </w:rPr>
        <w:t>Evolution</w:t>
      </w:r>
      <w:proofErr w:type="spellEnd"/>
      <w:r w:rsidRPr="005B6DAB">
        <w:rPr>
          <w:rFonts w:cs="Arial"/>
          <w:sz w:val="16"/>
          <w:szCs w:val="16"/>
          <w:lang w:val="cs-CZ"/>
        </w:rPr>
        <w:t>, 2009, čl. 3.14 (</w:t>
      </w:r>
      <w:r w:rsidRPr="00946BA5">
        <w:rPr>
          <w:rFonts w:cs="Arial"/>
          <w:sz w:val="16"/>
          <w:szCs w:val="16"/>
          <w:lang w:val="cs-CZ"/>
        </w:rPr>
        <w:t>http://stakeholders.ofcom.org.uk/binaries/consultations/msa/statement/MSA_statement.pdf</w:t>
      </w:r>
      <w:r w:rsidRPr="005B6DAB">
        <w:rPr>
          <w:rFonts w:cs="Arial"/>
          <w:sz w:val="16"/>
          <w:szCs w:val="16"/>
          <w:lang w:val="cs-CZ"/>
        </w:rPr>
        <w:t xml:space="preserve">). </w:t>
      </w:r>
    </w:p>
  </w:footnote>
  <w:footnote w:id="62">
    <w:p w14:paraId="27810326"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rPr>
        <w:t xml:space="preserve"> </w:t>
      </w:r>
      <w:proofErr w:type="spellStart"/>
      <w:r w:rsidRPr="005B6DAB">
        <w:rPr>
          <w:rFonts w:cs="Arial"/>
          <w:sz w:val="16"/>
          <w:szCs w:val="16"/>
          <w:lang w:val="cs-CZ"/>
        </w:rPr>
        <w:t>Ibid</w:t>
      </w:r>
      <w:proofErr w:type="spellEnd"/>
      <w:r w:rsidRPr="005B6DAB">
        <w:rPr>
          <w:rFonts w:cs="Arial"/>
          <w:sz w:val="16"/>
          <w:szCs w:val="16"/>
          <w:lang w:val="cs-CZ"/>
        </w:rPr>
        <w:t>, čl. 2.29.</w:t>
      </w:r>
    </w:p>
  </w:footnote>
  <w:footnote w:id="63">
    <w:p w14:paraId="1B62989B"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946BA5">
        <w:rPr>
          <w:rFonts w:cs="Arial"/>
          <w:sz w:val="16"/>
          <w:szCs w:val="16"/>
          <w:lang w:val="cs-CZ"/>
        </w:rPr>
        <w:t xml:space="preserve"> http://www.theguardian.com/business/2007/dec/19/telecoms.telecoms</w:t>
      </w:r>
    </w:p>
  </w:footnote>
  <w:footnote w:id="64">
    <w:p w14:paraId="308536F2"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rPr>
        <w:t xml:space="preserve"> </w:t>
      </w:r>
      <w:r w:rsidRPr="005B6DAB">
        <w:rPr>
          <w:rFonts w:cs="Arial"/>
          <w:sz w:val="16"/>
          <w:szCs w:val="16"/>
          <w:lang w:val="cs-CZ"/>
        </w:rPr>
        <w:t xml:space="preserve">GMSA: Mobile </w:t>
      </w:r>
      <w:proofErr w:type="spellStart"/>
      <w:r w:rsidRPr="005B6DAB">
        <w:rPr>
          <w:rFonts w:cs="Arial"/>
          <w:sz w:val="16"/>
          <w:szCs w:val="16"/>
          <w:lang w:val="cs-CZ"/>
        </w:rPr>
        <w:t>Infrastructure</w:t>
      </w:r>
      <w:proofErr w:type="spellEnd"/>
      <w:r w:rsidRPr="005B6DAB">
        <w:rPr>
          <w:rFonts w:cs="Arial"/>
          <w:sz w:val="16"/>
          <w:szCs w:val="16"/>
          <w:lang w:val="cs-CZ"/>
        </w:rPr>
        <w:t xml:space="preserve"> </w:t>
      </w:r>
      <w:proofErr w:type="spellStart"/>
      <w:r w:rsidRPr="005B6DAB">
        <w:rPr>
          <w:rFonts w:cs="Arial"/>
          <w:sz w:val="16"/>
          <w:szCs w:val="16"/>
          <w:lang w:val="cs-CZ"/>
        </w:rPr>
        <w:t>Sharing</w:t>
      </w:r>
      <w:proofErr w:type="spellEnd"/>
      <w:r w:rsidRPr="005B6DAB">
        <w:rPr>
          <w:rFonts w:cs="Arial"/>
          <w:sz w:val="16"/>
          <w:szCs w:val="16"/>
          <w:lang w:val="cs-CZ"/>
        </w:rPr>
        <w:t xml:space="preserve">, 2012, </w:t>
      </w:r>
      <w:proofErr w:type="spellStart"/>
      <w:r w:rsidRPr="005B6DAB">
        <w:rPr>
          <w:rFonts w:cs="Arial"/>
          <w:sz w:val="16"/>
          <w:szCs w:val="16"/>
          <w:lang w:val="cs-CZ"/>
        </w:rPr>
        <w:t>Appendix</w:t>
      </w:r>
      <w:proofErr w:type="spellEnd"/>
      <w:r w:rsidRPr="005B6DAB">
        <w:rPr>
          <w:rFonts w:cs="Arial"/>
          <w:sz w:val="16"/>
          <w:szCs w:val="16"/>
          <w:lang w:val="cs-CZ"/>
        </w:rPr>
        <w:t xml:space="preserve"> 1 Country </w:t>
      </w:r>
      <w:proofErr w:type="spellStart"/>
      <w:r w:rsidRPr="005B6DAB">
        <w:rPr>
          <w:rFonts w:cs="Arial"/>
          <w:sz w:val="16"/>
          <w:szCs w:val="16"/>
          <w:lang w:val="cs-CZ"/>
        </w:rPr>
        <w:t>Examples</w:t>
      </w:r>
      <w:proofErr w:type="spellEnd"/>
      <w:r w:rsidRPr="005B6DAB">
        <w:rPr>
          <w:rFonts w:cs="Arial"/>
          <w:sz w:val="16"/>
          <w:szCs w:val="16"/>
          <w:lang w:val="cs-CZ"/>
        </w:rPr>
        <w:t xml:space="preserve"> (</w:t>
      </w:r>
      <w:r w:rsidRPr="00946BA5">
        <w:rPr>
          <w:rFonts w:cs="Arial"/>
          <w:sz w:val="16"/>
          <w:szCs w:val="16"/>
          <w:lang w:val="cs-CZ"/>
        </w:rPr>
        <w:t>http://www.gsma.com/publicpolicy/wp-content/uploads/2012/09/Mobile-Infrastructure-sharing.pdf</w:t>
      </w:r>
      <w:r w:rsidRPr="005B6DAB">
        <w:rPr>
          <w:rFonts w:cs="Arial"/>
          <w:sz w:val="16"/>
          <w:szCs w:val="16"/>
          <w:lang w:val="cs-CZ"/>
        </w:rPr>
        <w:t xml:space="preserve">). </w:t>
      </w:r>
    </w:p>
  </w:footnote>
  <w:footnote w:id="65">
    <w:p w14:paraId="0199A414"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lang w:val="cs-CZ"/>
        </w:rPr>
        <w:t xml:space="preserve"> </w:t>
      </w:r>
      <w:r>
        <w:rPr>
          <w:rFonts w:cs="Arial"/>
          <w:sz w:val="16"/>
          <w:szCs w:val="16"/>
          <w:lang w:val="cs-CZ"/>
        </w:rPr>
        <w:t>V anglickém originálu „</w:t>
      </w:r>
      <w:proofErr w:type="spellStart"/>
      <w:r>
        <w:rPr>
          <w:rFonts w:cs="Arial"/>
          <w:sz w:val="16"/>
          <w:szCs w:val="16"/>
          <w:lang w:val="cs-CZ"/>
        </w:rPr>
        <w:t>where</w:t>
      </w:r>
      <w:proofErr w:type="spellEnd"/>
      <w:r>
        <w:rPr>
          <w:rFonts w:cs="Arial"/>
          <w:sz w:val="16"/>
          <w:szCs w:val="16"/>
          <w:lang w:val="cs-CZ"/>
        </w:rPr>
        <w:t xml:space="preserve"> </w:t>
      </w:r>
      <w:proofErr w:type="spellStart"/>
      <w:r>
        <w:rPr>
          <w:rFonts w:cs="Arial"/>
          <w:sz w:val="16"/>
          <w:szCs w:val="16"/>
          <w:lang w:val="cs-CZ"/>
        </w:rPr>
        <w:t>possible</w:t>
      </w:r>
      <w:proofErr w:type="spellEnd"/>
      <w:r>
        <w:rPr>
          <w:rFonts w:cs="Arial"/>
          <w:sz w:val="16"/>
          <w:szCs w:val="16"/>
          <w:lang w:val="cs-CZ"/>
        </w:rPr>
        <w:t xml:space="preserve">“, </w:t>
      </w:r>
      <w:r w:rsidRPr="00946BA5">
        <w:rPr>
          <w:rFonts w:cs="Arial"/>
          <w:sz w:val="16"/>
          <w:szCs w:val="16"/>
          <w:lang w:val="cs-CZ"/>
        </w:rPr>
        <w:t>http://licensing.ofcom.org.uk/radiocommunication-licences/mobile-wireless-broadband/cellular-wireless-broadband/policy-and-background/site-sharing/</w:t>
      </w:r>
    </w:p>
  </w:footnote>
  <w:footnote w:id="66">
    <w:p w14:paraId="7E3855A6"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lang w:val="cs-CZ"/>
        </w:rPr>
        <w:t xml:space="preserve"> </w:t>
      </w:r>
      <w:r>
        <w:rPr>
          <w:rFonts w:cs="Arial"/>
          <w:sz w:val="16"/>
          <w:szCs w:val="16"/>
          <w:lang w:val="cs-CZ"/>
        </w:rPr>
        <w:t>OFCOM</w:t>
      </w:r>
      <w:r w:rsidRPr="005B6DAB">
        <w:rPr>
          <w:rFonts w:cs="Arial"/>
          <w:sz w:val="16"/>
          <w:szCs w:val="16"/>
          <w:lang w:val="cs-CZ"/>
        </w:rPr>
        <w:t xml:space="preserve">: </w:t>
      </w:r>
      <w:proofErr w:type="spellStart"/>
      <w:r w:rsidRPr="005B6DAB">
        <w:rPr>
          <w:rFonts w:cs="Arial"/>
          <w:sz w:val="16"/>
          <w:szCs w:val="16"/>
          <w:lang w:val="cs-CZ"/>
        </w:rPr>
        <w:t>Infrastructure</w:t>
      </w:r>
      <w:proofErr w:type="spellEnd"/>
      <w:r w:rsidRPr="005B6DAB">
        <w:rPr>
          <w:rFonts w:cs="Arial"/>
          <w:sz w:val="16"/>
          <w:szCs w:val="16"/>
          <w:lang w:val="cs-CZ"/>
        </w:rPr>
        <w:t xml:space="preserve"> report 2014, čl. 5.86 (</w:t>
      </w:r>
      <w:r w:rsidRPr="005B32A3">
        <w:rPr>
          <w:rFonts w:cs="Arial"/>
          <w:sz w:val="16"/>
          <w:szCs w:val="16"/>
          <w:lang w:val="cs-CZ"/>
        </w:rPr>
        <w:t>http://stakeholders.ofcom.org.uk/binaries/research/infrastructure/2014/infrastructure-14.pdf</w:t>
      </w:r>
      <w:r w:rsidRPr="005B6DAB">
        <w:rPr>
          <w:rFonts w:cs="Arial"/>
          <w:sz w:val="16"/>
          <w:szCs w:val="16"/>
          <w:lang w:val="cs-CZ"/>
        </w:rPr>
        <w:t xml:space="preserve">). </w:t>
      </w:r>
    </w:p>
  </w:footnote>
  <w:footnote w:id="67">
    <w:p w14:paraId="523ABEF6"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lang w:val="cs-CZ"/>
        </w:rPr>
        <w:t xml:space="preserve"> </w:t>
      </w:r>
      <w:r>
        <w:rPr>
          <w:rFonts w:cs="Arial"/>
          <w:sz w:val="16"/>
          <w:szCs w:val="16"/>
          <w:lang w:val="cs-CZ"/>
        </w:rPr>
        <w:t>OFCOM</w:t>
      </w:r>
      <w:r w:rsidRPr="005B6DAB">
        <w:rPr>
          <w:rFonts w:cs="Arial"/>
          <w:sz w:val="16"/>
          <w:szCs w:val="16"/>
          <w:lang w:val="cs-CZ"/>
        </w:rPr>
        <w:t xml:space="preserve">: </w:t>
      </w:r>
      <w:proofErr w:type="spellStart"/>
      <w:r w:rsidRPr="005B6DAB">
        <w:rPr>
          <w:rFonts w:cs="Arial"/>
          <w:sz w:val="16"/>
          <w:szCs w:val="16"/>
          <w:lang w:val="cs-CZ"/>
        </w:rPr>
        <w:t>Infrastructure</w:t>
      </w:r>
      <w:proofErr w:type="spellEnd"/>
      <w:r w:rsidRPr="005B6DAB">
        <w:rPr>
          <w:rFonts w:cs="Arial"/>
          <w:sz w:val="16"/>
          <w:szCs w:val="16"/>
          <w:lang w:val="cs-CZ"/>
        </w:rPr>
        <w:t xml:space="preserve"> report 2014, čl. 5.87. </w:t>
      </w:r>
    </w:p>
  </w:footnote>
  <w:footnote w:id="68">
    <w:p w14:paraId="32BCB9E9"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lang w:val="cs-CZ"/>
        </w:rPr>
        <w:t xml:space="preserve"> </w:t>
      </w:r>
      <w:r w:rsidRPr="005B32A3">
        <w:rPr>
          <w:rFonts w:cs="Arial"/>
          <w:sz w:val="16"/>
          <w:szCs w:val="16"/>
          <w:lang w:val="cs-CZ"/>
        </w:rPr>
        <w:t>http://blog.vodafone.co.uk/2012/11/20/better-coverage-fewer-masts-your-complete-guide-to-our-network-joint-venture/</w:t>
      </w:r>
    </w:p>
  </w:footnote>
  <w:footnote w:id="69">
    <w:p w14:paraId="0D34F19F"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lang w:val="cs-CZ"/>
        </w:rPr>
        <w:t xml:space="preserve"> </w:t>
      </w:r>
      <w:r w:rsidRPr="005B32A3">
        <w:rPr>
          <w:rFonts w:cs="Arial"/>
          <w:sz w:val="16"/>
          <w:szCs w:val="16"/>
          <w:lang w:val="cs-CZ"/>
        </w:rPr>
        <w:t>http://www.ft.com/intl/cms/s/0/d1f2827c-1d84-11e4-b927-00144feabdc0.html#axzz3UeSwAzuW</w:t>
      </w:r>
    </w:p>
  </w:footnote>
  <w:footnote w:id="70">
    <w:p w14:paraId="4326094C"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lang w:val="cs-CZ"/>
        </w:rPr>
        <w:t xml:space="preserve"> </w:t>
      </w:r>
      <w:hyperlink r:id="rId1" w:history="1">
        <w:r w:rsidRPr="005B6DAB">
          <w:rPr>
            <w:rStyle w:val="Hypertextovodkaz"/>
            <w:rFonts w:cs="Arial"/>
            <w:sz w:val="16"/>
            <w:szCs w:val="16"/>
            <w:lang w:val="cs-CZ"/>
          </w:rPr>
          <w:t>https://www.telegeography.com/products/commsupdate/articles/2012/10/01/telefonicavodafone-uk-network-merger-given-oft-approval/</w:t>
        </w:r>
      </w:hyperlink>
      <w:r w:rsidRPr="005B6DAB">
        <w:rPr>
          <w:rFonts w:cs="Arial"/>
          <w:sz w:val="16"/>
          <w:szCs w:val="16"/>
          <w:lang w:val="cs-CZ"/>
        </w:rPr>
        <w:t xml:space="preserve"> </w:t>
      </w:r>
    </w:p>
  </w:footnote>
  <w:footnote w:id="71">
    <w:p w14:paraId="253F8CB7"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lang w:val="cs-CZ"/>
        </w:rPr>
        <w:t xml:space="preserve"> </w:t>
      </w:r>
      <w:hyperlink r:id="rId2" w:history="1">
        <w:r w:rsidRPr="005B6DAB">
          <w:rPr>
            <w:rStyle w:val="Hypertextovodkaz"/>
            <w:rFonts w:cs="Arial"/>
            <w:sz w:val="16"/>
            <w:szCs w:val="16"/>
            <w:lang w:val="cs-CZ"/>
          </w:rPr>
          <w:t>http://webarchive.nationalarchives.gov.uk/20140402142426/http://www.oft.gov.uk/shared_oft/mergers_ea02/2012/vodafone.pdf</w:t>
        </w:r>
      </w:hyperlink>
      <w:r w:rsidRPr="005B6DAB">
        <w:rPr>
          <w:rFonts w:cs="Arial"/>
          <w:sz w:val="16"/>
          <w:szCs w:val="16"/>
          <w:lang w:val="cs-CZ"/>
        </w:rPr>
        <w:t xml:space="preserve"> </w:t>
      </w:r>
    </w:p>
  </w:footnote>
  <w:footnote w:id="72">
    <w:p w14:paraId="120615BC"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lang w:val="cs-CZ"/>
        </w:rPr>
        <w:t xml:space="preserve"> </w:t>
      </w:r>
      <w:r w:rsidRPr="005B32A3">
        <w:rPr>
          <w:rFonts w:cs="Arial"/>
          <w:sz w:val="16"/>
          <w:szCs w:val="16"/>
          <w:lang w:val="cs-CZ"/>
        </w:rPr>
        <w:t>http://www.mobilemastinfo.com/network-sharing-and-consolidation/</w:t>
      </w:r>
    </w:p>
  </w:footnote>
  <w:footnote w:id="73">
    <w:p w14:paraId="0E7C8B31" w14:textId="77777777" w:rsidR="00273E54" w:rsidRPr="00A163E1" w:rsidRDefault="00273E54" w:rsidP="005B32A3">
      <w:pPr>
        <w:pStyle w:val="Textpoznpodarou"/>
        <w:spacing w:after="0"/>
        <w:jc w:val="left"/>
        <w:rPr>
          <w:sz w:val="16"/>
          <w:szCs w:val="16"/>
          <w:lang w:val="cs-CZ"/>
        </w:rPr>
      </w:pPr>
      <w:r w:rsidRPr="00A163E1">
        <w:rPr>
          <w:rStyle w:val="Znakapoznpodarou"/>
          <w:sz w:val="16"/>
        </w:rPr>
        <w:footnoteRef/>
      </w:r>
      <w:r w:rsidRPr="00A163E1">
        <w:rPr>
          <w:lang w:val="cs-CZ"/>
        </w:rPr>
        <w:t xml:space="preserve"> </w:t>
      </w:r>
      <w:r w:rsidRPr="00B623A2">
        <w:rPr>
          <w:rFonts w:cs="Arial"/>
          <w:sz w:val="16"/>
          <w:szCs w:val="16"/>
          <w:lang w:val="cs-CZ"/>
        </w:rPr>
        <w:t xml:space="preserve">Není-li dále </w:t>
      </w:r>
      <w:r w:rsidRPr="00A163E1">
        <w:rPr>
          <w:rFonts w:cs="Arial"/>
          <w:sz w:val="16"/>
          <w:szCs w:val="16"/>
          <w:lang w:val="cs-CZ"/>
        </w:rPr>
        <w:t xml:space="preserve">uvedeno jinak, informace a závěry obsažené v této kapitole 2.2 vycházejí z rozhodnutí francouzského NCA, </w:t>
      </w:r>
      <w:proofErr w:type="spellStart"/>
      <w:r w:rsidRPr="00A163E1">
        <w:rPr>
          <w:rFonts w:cs="Arial"/>
          <w:sz w:val="16"/>
          <w:szCs w:val="16"/>
          <w:lang w:val="cs-CZ"/>
        </w:rPr>
        <w:t>Autorité</w:t>
      </w:r>
      <w:proofErr w:type="spellEnd"/>
      <w:r w:rsidRPr="00A163E1">
        <w:rPr>
          <w:rFonts w:cs="Arial"/>
          <w:sz w:val="16"/>
          <w:szCs w:val="16"/>
          <w:lang w:val="cs-CZ"/>
        </w:rPr>
        <w:t xml:space="preserve"> de la </w:t>
      </w:r>
      <w:proofErr w:type="spellStart"/>
      <w:r w:rsidRPr="00A163E1">
        <w:rPr>
          <w:rFonts w:cs="Arial"/>
          <w:sz w:val="16"/>
          <w:szCs w:val="16"/>
          <w:lang w:val="cs-CZ"/>
        </w:rPr>
        <w:t>concurrence</w:t>
      </w:r>
      <w:proofErr w:type="spellEnd"/>
      <w:r w:rsidRPr="00A163E1">
        <w:rPr>
          <w:rFonts w:cs="Arial"/>
          <w:sz w:val="16"/>
          <w:szCs w:val="16"/>
          <w:lang w:val="cs-CZ"/>
        </w:rPr>
        <w:t>, ze dne 25. září 2014 týkajícího se praktik v oblasti mobilních sítí a komunikačních služeb (</w:t>
      </w:r>
      <w:proofErr w:type="spellStart"/>
      <w:r w:rsidRPr="00A163E1">
        <w:rPr>
          <w:rFonts w:cs="Arial"/>
          <w:i/>
          <w:sz w:val="16"/>
          <w:szCs w:val="16"/>
          <w:lang w:val="cs-CZ"/>
        </w:rPr>
        <w:t>Décision</w:t>
      </w:r>
      <w:proofErr w:type="spellEnd"/>
      <w:r w:rsidRPr="00A163E1">
        <w:rPr>
          <w:rFonts w:cs="Arial"/>
          <w:i/>
          <w:sz w:val="16"/>
          <w:szCs w:val="16"/>
          <w:lang w:val="cs-CZ"/>
        </w:rPr>
        <w:t xml:space="preserve"> n° 14-D-10 </w:t>
      </w:r>
      <w:proofErr w:type="spellStart"/>
      <w:r w:rsidRPr="00A163E1">
        <w:rPr>
          <w:rFonts w:cs="Arial"/>
          <w:i/>
          <w:sz w:val="16"/>
          <w:szCs w:val="16"/>
          <w:lang w:val="cs-CZ"/>
        </w:rPr>
        <w:t>du</w:t>
      </w:r>
      <w:proofErr w:type="spellEnd"/>
      <w:r w:rsidRPr="00A163E1">
        <w:rPr>
          <w:rFonts w:cs="Arial"/>
          <w:i/>
          <w:sz w:val="16"/>
          <w:szCs w:val="16"/>
          <w:lang w:val="cs-CZ"/>
        </w:rPr>
        <w:t xml:space="preserve"> 25 </w:t>
      </w:r>
      <w:proofErr w:type="spellStart"/>
      <w:r w:rsidRPr="00A163E1">
        <w:rPr>
          <w:rFonts w:cs="Arial"/>
          <w:i/>
          <w:sz w:val="16"/>
          <w:szCs w:val="16"/>
          <w:lang w:val="cs-CZ"/>
        </w:rPr>
        <w:t>septembre</w:t>
      </w:r>
      <w:proofErr w:type="spellEnd"/>
      <w:r w:rsidRPr="00A163E1">
        <w:rPr>
          <w:rFonts w:cs="Arial"/>
          <w:i/>
          <w:sz w:val="16"/>
          <w:szCs w:val="16"/>
          <w:lang w:val="cs-CZ"/>
        </w:rPr>
        <w:t xml:space="preserve"> 2014 </w:t>
      </w:r>
      <w:proofErr w:type="spellStart"/>
      <w:r w:rsidRPr="00A163E1">
        <w:rPr>
          <w:rFonts w:cs="Arial"/>
          <w:i/>
          <w:sz w:val="16"/>
          <w:szCs w:val="16"/>
          <w:lang w:val="cs-CZ"/>
        </w:rPr>
        <w:t>relative</w:t>
      </w:r>
      <w:proofErr w:type="spellEnd"/>
      <w:r w:rsidRPr="00A163E1">
        <w:rPr>
          <w:rFonts w:cs="Arial"/>
          <w:i/>
          <w:sz w:val="16"/>
          <w:szCs w:val="16"/>
          <w:lang w:val="cs-CZ"/>
        </w:rPr>
        <w:t xml:space="preserve"> à des </w:t>
      </w:r>
      <w:proofErr w:type="spellStart"/>
      <w:r w:rsidRPr="00A163E1">
        <w:rPr>
          <w:rFonts w:cs="Arial"/>
          <w:i/>
          <w:sz w:val="16"/>
          <w:szCs w:val="16"/>
          <w:lang w:val="cs-CZ"/>
        </w:rPr>
        <w:t>pratiques</w:t>
      </w:r>
      <w:proofErr w:type="spellEnd"/>
      <w:r w:rsidRPr="00A163E1">
        <w:rPr>
          <w:rFonts w:cs="Arial"/>
          <w:i/>
          <w:sz w:val="16"/>
          <w:szCs w:val="16"/>
          <w:lang w:val="cs-CZ"/>
        </w:rPr>
        <w:t xml:space="preserve"> </w:t>
      </w:r>
      <w:proofErr w:type="spellStart"/>
      <w:r w:rsidRPr="00A163E1">
        <w:rPr>
          <w:rFonts w:cs="Arial"/>
          <w:i/>
          <w:sz w:val="16"/>
          <w:szCs w:val="16"/>
          <w:lang w:val="cs-CZ"/>
        </w:rPr>
        <w:t>mises</w:t>
      </w:r>
      <w:proofErr w:type="spellEnd"/>
      <w:r w:rsidRPr="00A163E1">
        <w:rPr>
          <w:rFonts w:cs="Arial"/>
          <w:i/>
          <w:sz w:val="16"/>
          <w:szCs w:val="16"/>
          <w:lang w:val="cs-CZ"/>
        </w:rPr>
        <w:t xml:space="preserve"> en </w:t>
      </w:r>
      <w:proofErr w:type="spellStart"/>
      <w:r w:rsidRPr="00A163E1">
        <w:rPr>
          <w:rFonts w:cs="Arial"/>
          <w:i/>
          <w:sz w:val="16"/>
          <w:szCs w:val="16"/>
          <w:lang w:val="cs-CZ"/>
        </w:rPr>
        <w:t>œuvre</w:t>
      </w:r>
      <w:proofErr w:type="spellEnd"/>
      <w:r w:rsidRPr="00A163E1">
        <w:rPr>
          <w:rFonts w:cs="Arial"/>
          <w:i/>
          <w:sz w:val="16"/>
          <w:szCs w:val="16"/>
          <w:lang w:val="cs-CZ"/>
        </w:rPr>
        <w:t xml:space="preserve"> </w:t>
      </w:r>
      <w:proofErr w:type="spellStart"/>
      <w:r w:rsidRPr="00A163E1">
        <w:rPr>
          <w:rFonts w:cs="Arial"/>
          <w:i/>
          <w:sz w:val="16"/>
          <w:szCs w:val="16"/>
          <w:lang w:val="cs-CZ"/>
        </w:rPr>
        <w:t>dans</w:t>
      </w:r>
      <w:proofErr w:type="spellEnd"/>
      <w:r w:rsidRPr="00A163E1">
        <w:rPr>
          <w:rFonts w:cs="Arial"/>
          <w:i/>
          <w:sz w:val="16"/>
          <w:szCs w:val="16"/>
          <w:lang w:val="cs-CZ"/>
        </w:rPr>
        <w:t xml:space="preserve"> </w:t>
      </w:r>
      <w:proofErr w:type="spellStart"/>
      <w:r w:rsidRPr="00A163E1">
        <w:rPr>
          <w:rFonts w:cs="Arial"/>
          <w:i/>
          <w:sz w:val="16"/>
          <w:szCs w:val="16"/>
          <w:lang w:val="cs-CZ"/>
        </w:rPr>
        <w:t>le</w:t>
      </w:r>
      <w:proofErr w:type="spellEnd"/>
      <w:r w:rsidRPr="00A163E1">
        <w:rPr>
          <w:rFonts w:cs="Arial"/>
          <w:i/>
          <w:sz w:val="16"/>
          <w:szCs w:val="16"/>
          <w:lang w:val="cs-CZ"/>
        </w:rPr>
        <w:t xml:space="preserve"> </w:t>
      </w:r>
      <w:proofErr w:type="spellStart"/>
      <w:r w:rsidRPr="00A163E1">
        <w:rPr>
          <w:rFonts w:cs="Arial"/>
          <w:i/>
          <w:sz w:val="16"/>
          <w:szCs w:val="16"/>
          <w:lang w:val="cs-CZ"/>
        </w:rPr>
        <w:t>secteur</w:t>
      </w:r>
      <w:proofErr w:type="spellEnd"/>
      <w:r w:rsidRPr="00A163E1">
        <w:rPr>
          <w:rFonts w:cs="Arial"/>
          <w:i/>
          <w:sz w:val="16"/>
          <w:szCs w:val="16"/>
          <w:lang w:val="cs-CZ"/>
        </w:rPr>
        <w:t xml:space="preserve"> des </w:t>
      </w:r>
      <w:proofErr w:type="spellStart"/>
      <w:r w:rsidRPr="00A163E1">
        <w:rPr>
          <w:rFonts w:cs="Arial"/>
          <w:i/>
          <w:sz w:val="16"/>
          <w:szCs w:val="16"/>
          <w:lang w:val="cs-CZ"/>
        </w:rPr>
        <w:t>réseaux</w:t>
      </w:r>
      <w:proofErr w:type="spellEnd"/>
      <w:r w:rsidRPr="00A163E1">
        <w:rPr>
          <w:rFonts w:cs="Arial"/>
          <w:i/>
          <w:sz w:val="16"/>
          <w:szCs w:val="16"/>
          <w:lang w:val="cs-CZ"/>
        </w:rPr>
        <w:t xml:space="preserve"> et des </w:t>
      </w:r>
      <w:proofErr w:type="spellStart"/>
      <w:r w:rsidRPr="00A163E1">
        <w:rPr>
          <w:rFonts w:cs="Arial"/>
          <w:i/>
          <w:sz w:val="16"/>
          <w:szCs w:val="16"/>
          <w:lang w:val="cs-CZ"/>
        </w:rPr>
        <w:t>services</w:t>
      </w:r>
      <w:proofErr w:type="spellEnd"/>
      <w:r w:rsidRPr="00A163E1">
        <w:rPr>
          <w:rFonts w:cs="Arial"/>
          <w:i/>
          <w:sz w:val="16"/>
          <w:szCs w:val="16"/>
          <w:lang w:val="cs-CZ"/>
        </w:rPr>
        <w:t xml:space="preserve"> de </w:t>
      </w:r>
      <w:proofErr w:type="spellStart"/>
      <w:r w:rsidRPr="00A163E1">
        <w:rPr>
          <w:rFonts w:cs="Arial"/>
          <w:i/>
          <w:sz w:val="16"/>
          <w:szCs w:val="16"/>
          <w:lang w:val="cs-CZ"/>
        </w:rPr>
        <w:t>communications</w:t>
      </w:r>
      <w:proofErr w:type="spellEnd"/>
      <w:r w:rsidRPr="00A163E1">
        <w:rPr>
          <w:rFonts w:cs="Arial"/>
          <w:i/>
          <w:sz w:val="16"/>
          <w:szCs w:val="16"/>
          <w:lang w:val="cs-CZ"/>
        </w:rPr>
        <w:t xml:space="preserve"> </w:t>
      </w:r>
      <w:proofErr w:type="spellStart"/>
      <w:r w:rsidRPr="00A163E1">
        <w:rPr>
          <w:rFonts w:cs="Arial"/>
          <w:i/>
          <w:sz w:val="16"/>
          <w:szCs w:val="16"/>
          <w:lang w:val="cs-CZ"/>
        </w:rPr>
        <w:t>mobiles</w:t>
      </w:r>
      <w:proofErr w:type="spellEnd"/>
      <w:r w:rsidRPr="00A163E1">
        <w:rPr>
          <w:rFonts w:cs="Arial"/>
          <w:sz w:val="16"/>
          <w:szCs w:val="16"/>
          <w:lang w:val="cs-CZ"/>
        </w:rPr>
        <w:t xml:space="preserve">), francouzský originál dostupný z: </w:t>
      </w:r>
      <w:r w:rsidRPr="005B32A3">
        <w:rPr>
          <w:rFonts w:cs="Arial"/>
          <w:sz w:val="16"/>
          <w:szCs w:val="16"/>
          <w:lang w:val="cs-CZ"/>
        </w:rPr>
        <w:t>http://www.arcep.fr/fileadmin/reprise/textes/juris/2014/14-d-10.pdf</w:t>
      </w:r>
      <w:r w:rsidRPr="00A163E1">
        <w:rPr>
          <w:rFonts w:cs="Arial"/>
          <w:sz w:val="16"/>
          <w:szCs w:val="16"/>
          <w:lang w:val="cs-CZ"/>
        </w:rPr>
        <w:t>.</w:t>
      </w:r>
    </w:p>
  </w:footnote>
  <w:footnote w:id="74">
    <w:p w14:paraId="5AF48BA0" w14:textId="77777777" w:rsidR="00273E54" w:rsidRPr="00A403C1" w:rsidRDefault="00273E54" w:rsidP="005B32A3">
      <w:pPr>
        <w:pStyle w:val="Textpoznpodarou"/>
        <w:spacing w:before="0" w:after="0" w:line="276" w:lineRule="auto"/>
        <w:jc w:val="left"/>
        <w:rPr>
          <w:lang w:val="cs-CZ"/>
        </w:rPr>
      </w:pPr>
      <w:r w:rsidRPr="00A403C1">
        <w:rPr>
          <w:rFonts w:cs="Arial"/>
          <w:sz w:val="16"/>
          <w:szCs w:val="16"/>
          <w:vertAlign w:val="superscript"/>
          <w:lang w:val="cs-CZ"/>
        </w:rPr>
        <w:footnoteRef/>
      </w:r>
      <w:r w:rsidRPr="00A403C1">
        <w:rPr>
          <w:rFonts w:cs="Arial"/>
          <w:sz w:val="16"/>
          <w:szCs w:val="16"/>
          <w:lang w:val="cs-CZ"/>
        </w:rPr>
        <w:t xml:space="preserve"> Srov. kapitola 3 tohoto vyjádření.</w:t>
      </w:r>
    </w:p>
  </w:footnote>
  <w:footnote w:id="75">
    <w:p w14:paraId="729D5522" w14:textId="77777777" w:rsidR="00273E54" w:rsidRPr="00A163E1" w:rsidRDefault="00273E54" w:rsidP="005B32A3">
      <w:pPr>
        <w:pStyle w:val="Textpoznpodarou"/>
        <w:spacing w:before="0" w:after="0" w:line="276" w:lineRule="auto"/>
        <w:jc w:val="left"/>
        <w:rPr>
          <w:rFonts w:cs="Arial"/>
          <w:sz w:val="16"/>
          <w:szCs w:val="16"/>
          <w:lang w:val="cs-CZ"/>
        </w:rPr>
      </w:pPr>
      <w:r w:rsidRPr="00A163E1">
        <w:rPr>
          <w:rStyle w:val="Znakapoznpodarou"/>
          <w:rFonts w:cs="Arial"/>
          <w:sz w:val="16"/>
          <w:szCs w:val="16"/>
        </w:rPr>
        <w:footnoteRef/>
      </w:r>
      <w:r w:rsidRPr="00A163E1">
        <w:rPr>
          <w:rFonts w:cs="Arial"/>
          <w:sz w:val="16"/>
          <w:szCs w:val="16"/>
          <w:lang w:val="cs-CZ"/>
        </w:rPr>
        <w:t xml:space="preserve"> Dohody o národním roamingu ve prospěch Free by nicméně měly být dle názoru AC postupně ukončovány.</w:t>
      </w:r>
    </w:p>
  </w:footnote>
  <w:footnote w:id="76">
    <w:p w14:paraId="18D7FBA8" w14:textId="77777777" w:rsidR="00273E54" w:rsidRPr="00A163E1" w:rsidRDefault="00273E54" w:rsidP="005B32A3">
      <w:pPr>
        <w:pStyle w:val="Textpoznpodarou"/>
        <w:spacing w:before="0" w:after="0" w:line="276" w:lineRule="auto"/>
        <w:jc w:val="left"/>
        <w:rPr>
          <w:rFonts w:cs="Arial"/>
          <w:sz w:val="16"/>
          <w:szCs w:val="16"/>
          <w:lang w:val="cs-CZ"/>
        </w:rPr>
      </w:pPr>
      <w:r w:rsidRPr="00A163E1">
        <w:rPr>
          <w:rStyle w:val="Znakapoznpodarou"/>
          <w:rFonts w:cs="Arial"/>
          <w:sz w:val="16"/>
          <w:szCs w:val="16"/>
          <w:lang w:val="cs-CZ"/>
        </w:rPr>
        <w:footnoteRef/>
      </w:r>
      <w:r w:rsidRPr="00A163E1">
        <w:rPr>
          <w:rFonts w:cs="Arial"/>
          <w:sz w:val="16"/>
          <w:szCs w:val="16"/>
          <w:lang w:val="cs-CZ"/>
        </w:rPr>
        <w:t xml:space="preserve"> </w:t>
      </w:r>
      <w:r w:rsidRPr="005B32A3">
        <w:rPr>
          <w:rFonts w:cs="Arial"/>
          <w:sz w:val="16"/>
          <w:szCs w:val="16"/>
          <w:lang w:val="cs-CZ"/>
        </w:rPr>
        <w:t>http://www.journaldunet.com/ebusiness/telecoms-fai/parts-de-marche-du-mobile-en-france.shtml</w:t>
      </w:r>
    </w:p>
  </w:footnote>
  <w:footnote w:id="77">
    <w:p w14:paraId="30DE0AB6" w14:textId="77777777" w:rsidR="00273E54" w:rsidRPr="00A163E1" w:rsidRDefault="00273E54" w:rsidP="005B32A3">
      <w:pPr>
        <w:pStyle w:val="Textpoznpodarou"/>
        <w:spacing w:before="0" w:after="0" w:line="276" w:lineRule="auto"/>
        <w:jc w:val="left"/>
        <w:rPr>
          <w:rFonts w:cs="Arial"/>
          <w:sz w:val="16"/>
          <w:szCs w:val="16"/>
          <w:lang w:val="cs-CZ"/>
        </w:rPr>
      </w:pPr>
      <w:r w:rsidRPr="00A163E1">
        <w:rPr>
          <w:rStyle w:val="Znakapoznpodarou"/>
          <w:rFonts w:cs="Arial"/>
          <w:sz w:val="16"/>
          <w:szCs w:val="16"/>
          <w:lang w:val="cs-CZ"/>
        </w:rPr>
        <w:footnoteRef/>
      </w:r>
      <w:r w:rsidRPr="00A163E1">
        <w:rPr>
          <w:rFonts w:cs="Arial"/>
          <w:sz w:val="16"/>
          <w:szCs w:val="16"/>
          <w:lang w:val="cs-CZ"/>
        </w:rPr>
        <w:t xml:space="preserve"> </w:t>
      </w:r>
      <w:r w:rsidRPr="005B32A3">
        <w:rPr>
          <w:rFonts w:cs="Arial"/>
          <w:sz w:val="16"/>
          <w:szCs w:val="16"/>
          <w:lang w:val="cs-CZ"/>
        </w:rPr>
        <w:t>http://www.journaldugeek.com/2014/11/13/free-mobile-soffre-une-part-de-marche-de-14-avec-95-millions-dabonnes/</w:t>
      </w:r>
    </w:p>
  </w:footnote>
  <w:footnote w:id="78">
    <w:p w14:paraId="514DC82D" w14:textId="77777777" w:rsidR="00273E54" w:rsidRPr="005B6DAB" w:rsidRDefault="00273E54" w:rsidP="005B32A3">
      <w:pPr>
        <w:pStyle w:val="Textpoznpodarou"/>
        <w:spacing w:before="0" w:after="0" w:line="276" w:lineRule="auto"/>
        <w:jc w:val="left"/>
        <w:rPr>
          <w:rFonts w:cs="Arial"/>
          <w:sz w:val="16"/>
          <w:szCs w:val="16"/>
          <w:lang w:val="cs-CZ"/>
        </w:rPr>
      </w:pPr>
      <w:r w:rsidRPr="00A163E1">
        <w:rPr>
          <w:rStyle w:val="Znakapoznpodarou"/>
          <w:rFonts w:cs="Arial"/>
          <w:sz w:val="16"/>
          <w:szCs w:val="16"/>
          <w:lang w:val="cs-CZ"/>
        </w:rPr>
        <w:footnoteRef/>
      </w:r>
      <w:r w:rsidRPr="00A163E1">
        <w:rPr>
          <w:rFonts w:cs="Arial"/>
          <w:sz w:val="16"/>
          <w:szCs w:val="16"/>
          <w:lang w:val="cs-CZ"/>
        </w:rPr>
        <w:t xml:space="preserve"> </w:t>
      </w:r>
      <w:proofErr w:type="spellStart"/>
      <w:r w:rsidRPr="00A163E1">
        <w:rPr>
          <w:rFonts w:cs="Arial"/>
          <w:sz w:val="16"/>
          <w:szCs w:val="16"/>
          <w:lang w:val="cs-CZ"/>
        </w:rPr>
        <w:t>Décision</w:t>
      </w:r>
      <w:proofErr w:type="spellEnd"/>
      <w:r w:rsidRPr="00A163E1">
        <w:rPr>
          <w:rFonts w:cs="Arial"/>
          <w:sz w:val="16"/>
          <w:szCs w:val="16"/>
          <w:lang w:val="cs-CZ"/>
        </w:rPr>
        <w:t xml:space="preserve"> n° 14-D-10 </w:t>
      </w:r>
      <w:proofErr w:type="spellStart"/>
      <w:r w:rsidRPr="00A163E1">
        <w:rPr>
          <w:rFonts w:cs="Arial"/>
          <w:sz w:val="16"/>
          <w:szCs w:val="16"/>
          <w:lang w:val="cs-CZ"/>
        </w:rPr>
        <w:t>du</w:t>
      </w:r>
      <w:proofErr w:type="spellEnd"/>
      <w:r w:rsidRPr="00A163E1">
        <w:rPr>
          <w:rFonts w:cs="Arial"/>
          <w:sz w:val="16"/>
          <w:szCs w:val="16"/>
          <w:lang w:val="cs-CZ"/>
        </w:rPr>
        <w:t xml:space="preserve"> 25 </w:t>
      </w:r>
      <w:proofErr w:type="spellStart"/>
      <w:r w:rsidRPr="00A163E1">
        <w:rPr>
          <w:rFonts w:cs="Arial"/>
          <w:sz w:val="16"/>
          <w:szCs w:val="16"/>
          <w:lang w:val="cs-CZ"/>
        </w:rPr>
        <w:t>septembre</w:t>
      </w:r>
      <w:proofErr w:type="spellEnd"/>
      <w:r w:rsidRPr="00A163E1">
        <w:rPr>
          <w:rFonts w:cs="Arial"/>
          <w:sz w:val="16"/>
          <w:szCs w:val="16"/>
          <w:lang w:val="cs-CZ"/>
        </w:rPr>
        <w:t xml:space="preserve"> 2014 </w:t>
      </w:r>
      <w:proofErr w:type="spellStart"/>
      <w:r w:rsidRPr="00A163E1">
        <w:rPr>
          <w:rFonts w:cs="Arial"/>
          <w:sz w:val="16"/>
          <w:szCs w:val="16"/>
          <w:lang w:val="cs-CZ"/>
        </w:rPr>
        <w:t>relative</w:t>
      </w:r>
      <w:proofErr w:type="spellEnd"/>
      <w:r w:rsidRPr="00A163E1">
        <w:rPr>
          <w:rFonts w:cs="Arial"/>
          <w:sz w:val="16"/>
          <w:szCs w:val="16"/>
          <w:lang w:val="cs-CZ"/>
        </w:rPr>
        <w:t xml:space="preserve"> à des </w:t>
      </w:r>
      <w:proofErr w:type="spellStart"/>
      <w:r w:rsidRPr="00A163E1">
        <w:rPr>
          <w:rFonts w:cs="Arial"/>
          <w:sz w:val="16"/>
          <w:szCs w:val="16"/>
          <w:lang w:val="cs-CZ"/>
        </w:rPr>
        <w:t>pratiques</w:t>
      </w:r>
      <w:proofErr w:type="spellEnd"/>
      <w:r w:rsidRPr="00A163E1">
        <w:rPr>
          <w:rFonts w:cs="Arial"/>
          <w:sz w:val="16"/>
          <w:szCs w:val="16"/>
          <w:lang w:val="cs-CZ"/>
        </w:rPr>
        <w:t xml:space="preserve"> </w:t>
      </w:r>
      <w:proofErr w:type="spellStart"/>
      <w:r w:rsidRPr="00A163E1">
        <w:rPr>
          <w:rFonts w:cs="Arial"/>
          <w:sz w:val="16"/>
          <w:szCs w:val="16"/>
          <w:lang w:val="cs-CZ"/>
        </w:rPr>
        <w:t>mises</w:t>
      </w:r>
      <w:proofErr w:type="spellEnd"/>
      <w:r w:rsidRPr="00A163E1">
        <w:rPr>
          <w:rFonts w:cs="Arial"/>
          <w:sz w:val="16"/>
          <w:szCs w:val="16"/>
          <w:lang w:val="cs-CZ"/>
        </w:rPr>
        <w:t xml:space="preserve"> en </w:t>
      </w:r>
      <w:proofErr w:type="spellStart"/>
      <w:r w:rsidRPr="00A163E1">
        <w:rPr>
          <w:rFonts w:cs="Arial"/>
          <w:sz w:val="16"/>
          <w:szCs w:val="16"/>
          <w:lang w:val="cs-CZ"/>
        </w:rPr>
        <w:t>œuvre</w:t>
      </w:r>
      <w:proofErr w:type="spellEnd"/>
      <w:r w:rsidRPr="00A163E1">
        <w:rPr>
          <w:rFonts w:cs="Arial"/>
          <w:sz w:val="16"/>
          <w:szCs w:val="16"/>
          <w:lang w:val="cs-CZ"/>
        </w:rPr>
        <w:t xml:space="preserve"> </w:t>
      </w:r>
      <w:proofErr w:type="spellStart"/>
      <w:r w:rsidRPr="00A163E1">
        <w:rPr>
          <w:rFonts w:cs="Arial"/>
          <w:sz w:val="16"/>
          <w:szCs w:val="16"/>
          <w:lang w:val="cs-CZ"/>
        </w:rPr>
        <w:t>dans</w:t>
      </w:r>
      <w:proofErr w:type="spellEnd"/>
      <w:r w:rsidRPr="00A163E1">
        <w:rPr>
          <w:rFonts w:cs="Arial"/>
          <w:sz w:val="16"/>
          <w:szCs w:val="16"/>
          <w:lang w:val="cs-CZ"/>
        </w:rPr>
        <w:t xml:space="preserve"> </w:t>
      </w:r>
      <w:proofErr w:type="spellStart"/>
      <w:r w:rsidRPr="00A163E1">
        <w:rPr>
          <w:rFonts w:cs="Arial"/>
          <w:sz w:val="16"/>
          <w:szCs w:val="16"/>
          <w:lang w:val="cs-CZ"/>
        </w:rPr>
        <w:t>le</w:t>
      </w:r>
      <w:proofErr w:type="spellEnd"/>
      <w:r w:rsidRPr="00A163E1">
        <w:rPr>
          <w:rFonts w:cs="Arial"/>
          <w:sz w:val="16"/>
          <w:szCs w:val="16"/>
          <w:lang w:val="cs-CZ"/>
        </w:rPr>
        <w:t xml:space="preserve"> </w:t>
      </w:r>
      <w:proofErr w:type="spellStart"/>
      <w:r w:rsidRPr="00A163E1">
        <w:rPr>
          <w:rFonts w:cs="Arial"/>
          <w:sz w:val="16"/>
          <w:szCs w:val="16"/>
          <w:lang w:val="cs-CZ"/>
        </w:rPr>
        <w:t>secteur</w:t>
      </w:r>
      <w:proofErr w:type="spellEnd"/>
      <w:r w:rsidRPr="00A163E1">
        <w:rPr>
          <w:rFonts w:cs="Arial"/>
          <w:sz w:val="16"/>
          <w:szCs w:val="16"/>
          <w:lang w:val="cs-CZ"/>
        </w:rPr>
        <w:t xml:space="preserve"> des </w:t>
      </w:r>
      <w:proofErr w:type="spellStart"/>
      <w:r w:rsidRPr="00A163E1">
        <w:rPr>
          <w:rFonts w:cs="Arial"/>
          <w:sz w:val="16"/>
          <w:szCs w:val="16"/>
          <w:lang w:val="cs-CZ"/>
        </w:rPr>
        <w:t>réseaux</w:t>
      </w:r>
      <w:proofErr w:type="spellEnd"/>
      <w:r w:rsidRPr="00A163E1">
        <w:rPr>
          <w:rFonts w:cs="Arial"/>
          <w:sz w:val="16"/>
          <w:szCs w:val="16"/>
          <w:lang w:val="cs-CZ"/>
        </w:rPr>
        <w:t xml:space="preserve"> et des </w:t>
      </w:r>
      <w:proofErr w:type="spellStart"/>
      <w:r w:rsidRPr="00A163E1">
        <w:rPr>
          <w:rFonts w:cs="Arial"/>
          <w:sz w:val="16"/>
          <w:szCs w:val="16"/>
          <w:lang w:val="cs-CZ"/>
        </w:rPr>
        <w:t>services</w:t>
      </w:r>
      <w:proofErr w:type="spellEnd"/>
      <w:r w:rsidRPr="00A163E1">
        <w:rPr>
          <w:rFonts w:cs="Arial"/>
          <w:sz w:val="16"/>
          <w:szCs w:val="16"/>
          <w:lang w:val="cs-CZ"/>
        </w:rPr>
        <w:t xml:space="preserve"> de </w:t>
      </w:r>
      <w:proofErr w:type="spellStart"/>
      <w:r w:rsidRPr="00A163E1">
        <w:rPr>
          <w:rFonts w:cs="Arial"/>
          <w:sz w:val="16"/>
          <w:szCs w:val="16"/>
          <w:lang w:val="cs-CZ"/>
        </w:rPr>
        <w:t>communications</w:t>
      </w:r>
      <w:proofErr w:type="spellEnd"/>
      <w:r w:rsidRPr="005B6DAB">
        <w:rPr>
          <w:rFonts w:cs="Arial"/>
          <w:sz w:val="16"/>
          <w:szCs w:val="16"/>
          <w:lang w:val="cs-CZ"/>
        </w:rPr>
        <w:t xml:space="preserve"> </w:t>
      </w:r>
      <w:proofErr w:type="spellStart"/>
      <w:r w:rsidRPr="005B6DAB">
        <w:rPr>
          <w:rFonts w:cs="Arial"/>
          <w:sz w:val="16"/>
          <w:szCs w:val="16"/>
          <w:lang w:val="cs-CZ"/>
        </w:rPr>
        <w:t>mobiles</w:t>
      </w:r>
      <w:proofErr w:type="spellEnd"/>
      <w:r w:rsidRPr="005B6DAB">
        <w:rPr>
          <w:rFonts w:cs="Arial"/>
          <w:sz w:val="16"/>
          <w:szCs w:val="16"/>
          <w:lang w:val="cs-CZ"/>
        </w:rPr>
        <w:t xml:space="preserve">, </w:t>
      </w:r>
      <w:r w:rsidRPr="005B32A3">
        <w:rPr>
          <w:rFonts w:cs="Arial"/>
          <w:sz w:val="16"/>
          <w:szCs w:val="16"/>
          <w:lang w:val="cs-CZ"/>
        </w:rPr>
        <w:t>http://www.arcep.fr/fileadmin/reprise/textes/juris/2014/14-d-10.pdf</w:t>
      </w:r>
      <w:r w:rsidRPr="005B6DAB">
        <w:rPr>
          <w:rFonts w:cs="Arial"/>
          <w:sz w:val="16"/>
          <w:szCs w:val="16"/>
          <w:lang w:val="cs-CZ"/>
        </w:rPr>
        <w:t xml:space="preserve">. </w:t>
      </w:r>
    </w:p>
  </w:footnote>
  <w:footnote w:id="79">
    <w:p w14:paraId="30053AF1" w14:textId="77777777" w:rsidR="00273E54" w:rsidRPr="005B6DAB" w:rsidRDefault="00273E54" w:rsidP="00A163E1">
      <w:pPr>
        <w:pStyle w:val="poznamkypodcarou"/>
        <w:spacing w:line="276" w:lineRule="auto"/>
        <w:rPr>
          <w:rFonts w:cs="Arial"/>
          <w:sz w:val="16"/>
          <w:szCs w:val="16"/>
          <w:lang w:val="cs-CZ"/>
        </w:rPr>
      </w:pPr>
      <w:r w:rsidRPr="005B6DAB">
        <w:rPr>
          <w:rStyle w:val="Znakapoznpodarou"/>
          <w:rFonts w:cs="Arial"/>
          <w:sz w:val="16"/>
          <w:szCs w:val="16"/>
          <w:lang w:val="cs-CZ"/>
        </w:rPr>
        <w:footnoteRef/>
      </w:r>
      <w:r w:rsidRPr="005B6DAB">
        <w:rPr>
          <w:rFonts w:cs="Arial"/>
          <w:sz w:val="16"/>
          <w:szCs w:val="16"/>
          <w:lang w:val="cs-CZ"/>
        </w:rPr>
        <w:t xml:space="preserve"> Avis n° 13-A-08 </w:t>
      </w:r>
      <w:proofErr w:type="spellStart"/>
      <w:r w:rsidRPr="005B6DAB">
        <w:rPr>
          <w:rFonts w:cs="Arial"/>
          <w:sz w:val="16"/>
          <w:szCs w:val="16"/>
          <w:lang w:val="cs-CZ"/>
        </w:rPr>
        <w:t>du</w:t>
      </w:r>
      <w:proofErr w:type="spellEnd"/>
      <w:r w:rsidRPr="005B6DAB">
        <w:rPr>
          <w:rFonts w:cs="Arial"/>
          <w:sz w:val="16"/>
          <w:szCs w:val="16"/>
          <w:lang w:val="cs-CZ"/>
        </w:rPr>
        <w:t xml:space="preserve"> 11 </w:t>
      </w:r>
      <w:proofErr w:type="spellStart"/>
      <w:r w:rsidRPr="005B6DAB">
        <w:rPr>
          <w:rFonts w:cs="Arial"/>
          <w:sz w:val="16"/>
          <w:szCs w:val="16"/>
          <w:lang w:val="cs-CZ"/>
        </w:rPr>
        <w:t>mars</w:t>
      </w:r>
      <w:proofErr w:type="spellEnd"/>
      <w:r w:rsidRPr="005B6DAB">
        <w:rPr>
          <w:rFonts w:cs="Arial"/>
          <w:sz w:val="16"/>
          <w:szCs w:val="16"/>
          <w:lang w:val="cs-CZ"/>
        </w:rPr>
        <w:t xml:space="preserve"> 2013 </w:t>
      </w:r>
      <w:proofErr w:type="spellStart"/>
      <w:r w:rsidRPr="005B6DAB">
        <w:rPr>
          <w:rFonts w:cs="Arial"/>
          <w:sz w:val="16"/>
          <w:szCs w:val="16"/>
          <w:lang w:val="cs-CZ"/>
        </w:rPr>
        <w:t>relatif</w:t>
      </w:r>
      <w:proofErr w:type="spellEnd"/>
      <w:r w:rsidRPr="005B6DAB">
        <w:rPr>
          <w:rFonts w:cs="Arial"/>
          <w:sz w:val="16"/>
          <w:szCs w:val="16"/>
          <w:lang w:val="cs-CZ"/>
        </w:rPr>
        <w:t xml:space="preserve"> </w:t>
      </w:r>
      <w:proofErr w:type="spellStart"/>
      <w:r w:rsidRPr="005B6DAB">
        <w:rPr>
          <w:rFonts w:cs="Arial"/>
          <w:sz w:val="16"/>
          <w:szCs w:val="16"/>
          <w:lang w:val="cs-CZ"/>
        </w:rPr>
        <w:t>aux</w:t>
      </w:r>
      <w:proofErr w:type="spellEnd"/>
      <w:r w:rsidRPr="005B6DAB">
        <w:rPr>
          <w:rFonts w:cs="Arial"/>
          <w:sz w:val="16"/>
          <w:szCs w:val="16"/>
          <w:lang w:val="cs-CZ"/>
        </w:rPr>
        <w:t xml:space="preserve"> </w:t>
      </w:r>
      <w:proofErr w:type="spellStart"/>
      <w:r w:rsidRPr="005B6DAB">
        <w:rPr>
          <w:rFonts w:cs="Arial"/>
          <w:sz w:val="16"/>
          <w:szCs w:val="16"/>
          <w:lang w:val="cs-CZ"/>
        </w:rPr>
        <w:t>conditions</w:t>
      </w:r>
      <w:proofErr w:type="spellEnd"/>
      <w:r w:rsidRPr="005B6DAB">
        <w:rPr>
          <w:rFonts w:cs="Arial"/>
          <w:sz w:val="16"/>
          <w:szCs w:val="16"/>
          <w:lang w:val="cs-CZ"/>
        </w:rPr>
        <w:t xml:space="preserve"> de </w:t>
      </w:r>
      <w:proofErr w:type="spellStart"/>
      <w:r w:rsidRPr="005B6DAB">
        <w:rPr>
          <w:rFonts w:cs="Arial"/>
          <w:sz w:val="16"/>
          <w:szCs w:val="16"/>
          <w:lang w:val="cs-CZ"/>
        </w:rPr>
        <w:t>mutualisation</w:t>
      </w:r>
      <w:proofErr w:type="spellEnd"/>
      <w:r w:rsidRPr="005B6DAB">
        <w:rPr>
          <w:rFonts w:cs="Arial"/>
          <w:sz w:val="16"/>
          <w:szCs w:val="16"/>
          <w:lang w:val="cs-CZ"/>
        </w:rPr>
        <w:t xml:space="preserve"> et </w:t>
      </w:r>
      <w:proofErr w:type="spellStart"/>
      <w:r w:rsidRPr="005B6DAB">
        <w:rPr>
          <w:rFonts w:cs="Arial"/>
          <w:sz w:val="16"/>
          <w:szCs w:val="16"/>
          <w:lang w:val="cs-CZ"/>
        </w:rPr>
        <w:t>d’itinérance</w:t>
      </w:r>
      <w:proofErr w:type="spellEnd"/>
      <w:r w:rsidRPr="005B6DAB">
        <w:rPr>
          <w:rFonts w:cs="Arial"/>
          <w:sz w:val="16"/>
          <w:szCs w:val="16"/>
          <w:lang w:val="cs-CZ"/>
        </w:rPr>
        <w:t xml:space="preserve"> </w:t>
      </w:r>
      <w:proofErr w:type="spellStart"/>
      <w:r w:rsidRPr="005B6DAB">
        <w:rPr>
          <w:rFonts w:cs="Arial"/>
          <w:sz w:val="16"/>
          <w:szCs w:val="16"/>
          <w:lang w:val="cs-CZ"/>
        </w:rPr>
        <w:t>sur</w:t>
      </w:r>
      <w:proofErr w:type="spellEnd"/>
      <w:r w:rsidRPr="005B6DAB">
        <w:rPr>
          <w:rFonts w:cs="Arial"/>
          <w:sz w:val="16"/>
          <w:szCs w:val="16"/>
          <w:lang w:val="cs-CZ"/>
        </w:rPr>
        <w:t xml:space="preserve"> les </w:t>
      </w:r>
      <w:proofErr w:type="spellStart"/>
      <w:r w:rsidRPr="005B6DAB">
        <w:rPr>
          <w:rFonts w:cs="Arial"/>
          <w:sz w:val="16"/>
          <w:szCs w:val="16"/>
          <w:lang w:val="cs-CZ"/>
        </w:rPr>
        <w:t>réseaux</w:t>
      </w:r>
      <w:proofErr w:type="spellEnd"/>
      <w:r w:rsidRPr="005B6DAB">
        <w:rPr>
          <w:rFonts w:cs="Arial"/>
          <w:sz w:val="16"/>
          <w:szCs w:val="16"/>
          <w:lang w:val="cs-CZ"/>
        </w:rPr>
        <w:t xml:space="preserve"> </w:t>
      </w:r>
      <w:proofErr w:type="spellStart"/>
      <w:r w:rsidRPr="005B6DAB">
        <w:rPr>
          <w:rFonts w:cs="Arial"/>
          <w:sz w:val="16"/>
          <w:szCs w:val="16"/>
          <w:lang w:val="cs-CZ"/>
        </w:rPr>
        <w:t>mobiles</w:t>
      </w:r>
      <w:proofErr w:type="spellEnd"/>
      <w:r w:rsidRPr="005B6DAB">
        <w:rPr>
          <w:rFonts w:cs="Arial"/>
          <w:sz w:val="16"/>
          <w:szCs w:val="16"/>
          <w:lang w:val="cs-CZ"/>
        </w:rPr>
        <w:t xml:space="preserve">, </w:t>
      </w:r>
      <w:r w:rsidRPr="005B32A3">
        <w:rPr>
          <w:rFonts w:cs="Arial"/>
          <w:sz w:val="16"/>
          <w:szCs w:val="16"/>
          <w:lang w:val="cs-CZ"/>
        </w:rPr>
        <w:t>http://www.autoritedelaconcurrence.fr/pdf/avis/13a08.pdf</w:t>
      </w:r>
      <w:r w:rsidRPr="00A163E1">
        <w:rPr>
          <w:rFonts w:cs="Arial"/>
          <w:sz w:val="16"/>
          <w:szCs w:val="16"/>
          <w:lang w:val="fr-FR"/>
        </w:rPr>
        <w:t>.</w:t>
      </w:r>
      <w:r w:rsidRPr="005B6DAB">
        <w:rPr>
          <w:rFonts w:cs="Arial"/>
          <w:sz w:val="16"/>
          <w:szCs w:val="16"/>
          <w:lang w:val="cs-CZ"/>
        </w:rPr>
        <w:t xml:space="preserve"> </w:t>
      </w:r>
    </w:p>
  </w:footnote>
  <w:footnote w:id="80">
    <w:p w14:paraId="53B30C29"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843D00">
        <w:rPr>
          <w:rFonts w:cs="Arial"/>
          <w:sz w:val="16"/>
          <w:szCs w:val="16"/>
          <w:lang w:val="de-DE"/>
        </w:rPr>
        <w:t xml:space="preserve"> </w:t>
      </w:r>
      <w:r w:rsidRPr="005B6DAB">
        <w:rPr>
          <w:rFonts w:cs="Arial"/>
          <w:sz w:val="16"/>
          <w:szCs w:val="16"/>
          <w:lang w:val="cs-CZ"/>
        </w:rPr>
        <w:t xml:space="preserve">Stanovisko ARCEP č. 2012-1627 ze dne </w:t>
      </w:r>
      <w:proofErr w:type="gramStart"/>
      <w:r w:rsidRPr="005B6DAB">
        <w:rPr>
          <w:rFonts w:cs="Arial"/>
          <w:sz w:val="16"/>
          <w:szCs w:val="16"/>
          <w:lang w:val="cs-CZ"/>
        </w:rPr>
        <w:t>20.12.2012</w:t>
      </w:r>
      <w:proofErr w:type="gramEnd"/>
      <w:r w:rsidRPr="005B6DAB">
        <w:rPr>
          <w:rFonts w:cs="Arial"/>
          <w:sz w:val="16"/>
          <w:szCs w:val="16"/>
          <w:lang w:val="cs-CZ"/>
        </w:rPr>
        <w:t>.</w:t>
      </w:r>
    </w:p>
  </w:footnote>
  <w:footnote w:id="81">
    <w:p w14:paraId="16E66E38"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rPr>
        <w:t xml:space="preserve"> </w:t>
      </w:r>
      <w:r w:rsidRPr="005B6DAB">
        <w:rPr>
          <w:rFonts w:cs="Arial"/>
          <w:sz w:val="16"/>
          <w:szCs w:val="16"/>
          <w:lang w:val="cs-CZ"/>
        </w:rPr>
        <w:t>Například body 4 a 143 stanoviska AC.</w:t>
      </w:r>
    </w:p>
  </w:footnote>
  <w:footnote w:id="82">
    <w:p w14:paraId="211F0E59"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lang w:val="cs-CZ"/>
        </w:rPr>
        <w:t xml:space="preserve"> </w:t>
      </w:r>
      <w:r w:rsidRPr="005B32A3">
        <w:rPr>
          <w:rFonts w:cs="Arial"/>
          <w:sz w:val="16"/>
          <w:szCs w:val="16"/>
          <w:lang w:val="cs-CZ"/>
        </w:rPr>
        <w:t>http://www.freenews.fr/freenews-edition-nationale-299/free-mobile-170/la-mutualisation-bouygues-sfr-nest-pas-fermee-a-dautres-operateurs-14376</w:t>
      </w:r>
    </w:p>
  </w:footnote>
  <w:footnote w:id="83">
    <w:p w14:paraId="3F76220E"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lang w:val="cs-CZ"/>
        </w:rPr>
        <w:t xml:space="preserve"> Tamtéž.</w:t>
      </w:r>
    </w:p>
  </w:footnote>
  <w:footnote w:id="84">
    <w:p w14:paraId="320555FE"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lang w:val="cs-CZ"/>
        </w:rPr>
        <w:t xml:space="preserve"> Rozhodnutí Komise z 30. 4. 2003, č. COMP/38.370, čl. 78.</w:t>
      </w:r>
    </w:p>
  </w:footnote>
  <w:footnote w:id="85">
    <w:p w14:paraId="11C0C220"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lang w:val="cs-CZ"/>
        </w:rPr>
        <w:t xml:space="preserve"> </w:t>
      </w:r>
      <w:proofErr w:type="spellStart"/>
      <w:r w:rsidRPr="005B6DAB">
        <w:rPr>
          <w:rFonts w:cs="Arial"/>
          <w:sz w:val="16"/>
          <w:szCs w:val="16"/>
          <w:lang w:val="cs-CZ"/>
        </w:rPr>
        <w:t>Ibid</w:t>
      </w:r>
      <w:proofErr w:type="spellEnd"/>
      <w:r w:rsidRPr="005B6DAB">
        <w:rPr>
          <w:rFonts w:cs="Arial"/>
          <w:sz w:val="16"/>
          <w:szCs w:val="16"/>
          <w:lang w:val="cs-CZ"/>
        </w:rPr>
        <w:t xml:space="preserve">, čl. 87.  </w:t>
      </w:r>
    </w:p>
  </w:footnote>
  <w:footnote w:id="86">
    <w:p w14:paraId="2AE3F8BA"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rPr>
        <w:t xml:space="preserve"> </w:t>
      </w:r>
      <w:r w:rsidRPr="005B6DAB">
        <w:rPr>
          <w:rFonts w:cs="Arial"/>
          <w:sz w:val="16"/>
          <w:szCs w:val="16"/>
          <w:lang w:val="cs-CZ"/>
        </w:rPr>
        <w:t>OECD (2014), “</w:t>
      </w:r>
      <w:proofErr w:type="spellStart"/>
      <w:r w:rsidRPr="005B6DAB">
        <w:rPr>
          <w:rFonts w:cs="Arial"/>
          <w:sz w:val="16"/>
          <w:szCs w:val="16"/>
          <w:lang w:val="cs-CZ"/>
        </w:rPr>
        <w:t>Wireless</w:t>
      </w:r>
      <w:proofErr w:type="spellEnd"/>
      <w:r w:rsidRPr="005B6DAB">
        <w:rPr>
          <w:rFonts w:cs="Arial"/>
          <w:sz w:val="16"/>
          <w:szCs w:val="16"/>
          <w:lang w:val="cs-CZ"/>
        </w:rPr>
        <w:t xml:space="preserve"> Market </w:t>
      </w:r>
      <w:proofErr w:type="spellStart"/>
      <w:r w:rsidRPr="005B6DAB">
        <w:rPr>
          <w:rFonts w:cs="Arial"/>
          <w:sz w:val="16"/>
          <w:szCs w:val="16"/>
          <w:lang w:val="cs-CZ"/>
        </w:rPr>
        <w:t>Structures</w:t>
      </w:r>
      <w:proofErr w:type="spellEnd"/>
      <w:r w:rsidRPr="005B6DAB">
        <w:rPr>
          <w:rFonts w:cs="Arial"/>
          <w:sz w:val="16"/>
          <w:szCs w:val="16"/>
          <w:lang w:val="cs-CZ"/>
        </w:rPr>
        <w:t xml:space="preserve"> and Network </w:t>
      </w:r>
      <w:proofErr w:type="spellStart"/>
      <w:r w:rsidRPr="005B6DAB">
        <w:rPr>
          <w:rFonts w:cs="Arial"/>
          <w:sz w:val="16"/>
          <w:szCs w:val="16"/>
          <w:lang w:val="cs-CZ"/>
        </w:rPr>
        <w:t>Sharing</w:t>
      </w:r>
      <w:proofErr w:type="spellEnd"/>
      <w:r w:rsidRPr="005B6DAB">
        <w:rPr>
          <w:rFonts w:cs="Arial"/>
          <w:sz w:val="16"/>
          <w:szCs w:val="16"/>
          <w:lang w:val="cs-CZ"/>
        </w:rPr>
        <w:t xml:space="preserve">”, OECD Digital </w:t>
      </w:r>
      <w:proofErr w:type="spellStart"/>
      <w:r w:rsidRPr="005B6DAB">
        <w:rPr>
          <w:rFonts w:cs="Arial"/>
          <w:sz w:val="16"/>
          <w:szCs w:val="16"/>
          <w:lang w:val="cs-CZ"/>
        </w:rPr>
        <w:t>Economy</w:t>
      </w:r>
      <w:proofErr w:type="spellEnd"/>
      <w:r w:rsidRPr="005B6DAB">
        <w:rPr>
          <w:rFonts w:cs="Arial"/>
          <w:sz w:val="16"/>
          <w:szCs w:val="16"/>
          <w:lang w:val="cs-CZ"/>
        </w:rPr>
        <w:t xml:space="preserve"> </w:t>
      </w:r>
      <w:proofErr w:type="spellStart"/>
      <w:r w:rsidRPr="005B6DAB">
        <w:rPr>
          <w:rFonts w:cs="Arial"/>
          <w:sz w:val="16"/>
          <w:szCs w:val="16"/>
          <w:lang w:val="cs-CZ"/>
        </w:rPr>
        <w:t>Papers</w:t>
      </w:r>
      <w:proofErr w:type="spellEnd"/>
      <w:r w:rsidRPr="005B6DAB">
        <w:rPr>
          <w:rFonts w:cs="Arial"/>
          <w:sz w:val="16"/>
          <w:szCs w:val="16"/>
          <w:lang w:val="cs-CZ"/>
        </w:rPr>
        <w:t xml:space="preserve">, No. 243, OECD </w:t>
      </w:r>
      <w:proofErr w:type="spellStart"/>
      <w:r w:rsidRPr="005B6DAB">
        <w:rPr>
          <w:rFonts w:cs="Arial"/>
          <w:sz w:val="16"/>
          <w:szCs w:val="16"/>
          <w:lang w:val="cs-CZ"/>
        </w:rPr>
        <w:t>Publishing</w:t>
      </w:r>
      <w:proofErr w:type="spellEnd"/>
      <w:r w:rsidRPr="005B6DAB">
        <w:rPr>
          <w:rFonts w:cs="Arial"/>
          <w:sz w:val="16"/>
          <w:szCs w:val="16"/>
          <w:lang w:val="cs-CZ"/>
        </w:rPr>
        <w:t>. (</w:t>
      </w:r>
      <w:r w:rsidRPr="005B32A3">
        <w:rPr>
          <w:rFonts w:cs="Arial"/>
          <w:sz w:val="16"/>
          <w:szCs w:val="16"/>
          <w:lang w:val="cs-CZ"/>
        </w:rPr>
        <w:t>http://dx.doi.org/10.1787/5jxt46dzl9r2-en</w:t>
      </w:r>
      <w:r w:rsidRPr="005B6DAB">
        <w:rPr>
          <w:rFonts w:cs="Arial"/>
          <w:sz w:val="16"/>
          <w:szCs w:val="16"/>
          <w:lang w:val="cs-CZ"/>
        </w:rPr>
        <w:t xml:space="preserve">). </w:t>
      </w:r>
    </w:p>
  </w:footnote>
  <w:footnote w:id="87">
    <w:p w14:paraId="06C9CCC5"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rPr>
        <w:t xml:space="preserve"> </w:t>
      </w:r>
      <w:r w:rsidRPr="005B6DAB">
        <w:rPr>
          <w:rFonts w:cs="Arial"/>
          <w:sz w:val="16"/>
          <w:szCs w:val="16"/>
          <w:lang w:val="cs-CZ"/>
        </w:rPr>
        <w:t xml:space="preserve">OFCOM, str. 17 bod 3.14, Mobile </w:t>
      </w:r>
      <w:proofErr w:type="spellStart"/>
      <w:r w:rsidRPr="005B6DAB">
        <w:rPr>
          <w:rFonts w:cs="Arial"/>
          <w:sz w:val="16"/>
          <w:szCs w:val="16"/>
          <w:lang w:val="cs-CZ"/>
        </w:rPr>
        <w:t>Evolution</w:t>
      </w:r>
      <w:proofErr w:type="spellEnd"/>
      <w:r w:rsidRPr="005B6DAB">
        <w:rPr>
          <w:rFonts w:cs="Arial"/>
          <w:sz w:val="16"/>
          <w:szCs w:val="16"/>
          <w:lang w:val="cs-CZ"/>
        </w:rPr>
        <w:t xml:space="preserve">, 2009, </w:t>
      </w:r>
      <w:r w:rsidRPr="005B32A3">
        <w:rPr>
          <w:rFonts w:cs="Arial"/>
          <w:sz w:val="16"/>
          <w:szCs w:val="16"/>
          <w:lang w:val="cs-CZ"/>
        </w:rPr>
        <w:t>http://stakeholders.ofcom.org.uk/binaries/consultations/msa/statement/MSA_statement.pdf</w:t>
      </w:r>
      <w:r w:rsidRPr="005B6DAB">
        <w:rPr>
          <w:rFonts w:cs="Arial"/>
          <w:sz w:val="16"/>
          <w:szCs w:val="16"/>
        </w:rPr>
        <w:t>.</w:t>
      </w:r>
      <w:r w:rsidRPr="005B6DAB">
        <w:rPr>
          <w:rFonts w:cs="Arial"/>
          <w:sz w:val="16"/>
          <w:szCs w:val="16"/>
          <w:lang w:val="cs-CZ"/>
        </w:rPr>
        <w:t xml:space="preserve"> </w:t>
      </w:r>
    </w:p>
  </w:footnote>
  <w:footnote w:id="88">
    <w:p w14:paraId="06C142D7"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lang w:val="fr-FR"/>
        </w:rPr>
        <w:t xml:space="preserve"> </w:t>
      </w:r>
      <w:r w:rsidRPr="005B6DAB">
        <w:rPr>
          <w:rFonts w:cs="Arial"/>
          <w:sz w:val="16"/>
          <w:szCs w:val="16"/>
          <w:lang w:val="cs-CZ"/>
        </w:rPr>
        <w:t>Rozhodnutí Komise o schválení spojení Orange a T-Mobile č. COMP/M.5650, čl. 82 (</w:t>
      </w:r>
      <w:r w:rsidRPr="005B32A3">
        <w:rPr>
          <w:rFonts w:cs="Arial"/>
          <w:sz w:val="16"/>
          <w:szCs w:val="16"/>
          <w:lang w:val="cs-CZ"/>
        </w:rPr>
        <w:t>http://ec.europa.eu/competition/mergers/cases/decisions/M5650_20100301_20212_247214_EN.pdf</w:t>
      </w:r>
      <w:r w:rsidRPr="005B6DAB">
        <w:rPr>
          <w:rFonts w:cs="Arial"/>
          <w:sz w:val="16"/>
          <w:szCs w:val="16"/>
          <w:lang w:val="cs-CZ"/>
        </w:rPr>
        <w:t xml:space="preserve">). </w:t>
      </w:r>
    </w:p>
  </w:footnote>
  <w:footnote w:id="89">
    <w:p w14:paraId="3F2DD818"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rPr>
        <w:t xml:space="preserve"> </w:t>
      </w:r>
      <w:r w:rsidRPr="005B6DAB">
        <w:rPr>
          <w:rFonts w:cs="Arial"/>
          <w:sz w:val="16"/>
          <w:szCs w:val="16"/>
          <w:lang w:val="cs-CZ"/>
        </w:rPr>
        <w:t>OECD, str. 66.</w:t>
      </w:r>
    </w:p>
  </w:footnote>
  <w:footnote w:id="90">
    <w:p w14:paraId="5CC7EE14"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rPr>
        <w:t xml:space="preserve"> </w:t>
      </w:r>
      <w:r w:rsidRPr="005B6DAB">
        <w:rPr>
          <w:rFonts w:cs="Arial"/>
          <w:sz w:val="16"/>
          <w:szCs w:val="16"/>
          <w:lang w:val="cs-CZ"/>
        </w:rPr>
        <w:t xml:space="preserve">OFCOM, </w:t>
      </w:r>
      <w:proofErr w:type="spellStart"/>
      <w:r w:rsidRPr="005B6DAB">
        <w:rPr>
          <w:rFonts w:cs="Arial"/>
          <w:sz w:val="16"/>
          <w:szCs w:val="16"/>
          <w:lang w:val="cs-CZ"/>
        </w:rPr>
        <w:t>The</w:t>
      </w:r>
      <w:proofErr w:type="spellEnd"/>
      <w:r w:rsidRPr="005B6DAB">
        <w:rPr>
          <w:rFonts w:cs="Arial"/>
          <w:sz w:val="16"/>
          <w:szCs w:val="16"/>
          <w:lang w:val="cs-CZ"/>
        </w:rPr>
        <w:t xml:space="preserve"> </w:t>
      </w:r>
      <w:proofErr w:type="spellStart"/>
      <w:r w:rsidRPr="005B6DAB">
        <w:rPr>
          <w:rFonts w:cs="Arial"/>
          <w:sz w:val="16"/>
          <w:szCs w:val="16"/>
          <w:lang w:val="cs-CZ"/>
        </w:rPr>
        <w:t>Communication</w:t>
      </w:r>
      <w:proofErr w:type="spellEnd"/>
      <w:r w:rsidRPr="005B6DAB">
        <w:rPr>
          <w:rFonts w:cs="Arial"/>
          <w:sz w:val="16"/>
          <w:szCs w:val="16"/>
          <w:lang w:val="cs-CZ"/>
        </w:rPr>
        <w:t xml:space="preserve"> Market 2010: UK. </w:t>
      </w:r>
      <w:proofErr w:type="gramStart"/>
      <w:r w:rsidRPr="005B32A3">
        <w:rPr>
          <w:rFonts w:cs="Arial"/>
          <w:sz w:val="16"/>
          <w:szCs w:val="16"/>
          <w:lang w:val="cs-CZ"/>
        </w:rPr>
        <w:t>http</w:t>
      </w:r>
      <w:proofErr w:type="gramEnd"/>
      <w:r w:rsidRPr="005B32A3">
        <w:rPr>
          <w:rFonts w:cs="Arial"/>
          <w:sz w:val="16"/>
          <w:szCs w:val="16"/>
          <w:lang w:val="cs-CZ"/>
        </w:rPr>
        <w:t>://www.ofcom.org.uk/static/cmr-10/UKCM-5.46b.html</w:t>
      </w:r>
      <w:r w:rsidRPr="005B6DAB">
        <w:rPr>
          <w:rFonts w:cs="Arial"/>
          <w:sz w:val="16"/>
          <w:szCs w:val="16"/>
        </w:rPr>
        <w:t>.</w:t>
      </w:r>
      <w:r w:rsidRPr="005B6DAB">
        <w:rPr>
          <w:rFonts w:cs="Arial"/>
          <w:sz w:val="16"/>
          <w:szCs w:val="16"/>
          <w:lang w:val="cs-CZ"/>
        </w:rPr>
        <w:t xml:space="preserve"> </w:t>
      </w:r>
    </w:p>
  </w:footnote>
  <w:footnote w:id="91">
    <w:p w14:paraId="7D055B8A"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rPr>
        <w:t xml:space="preserve"> </w:t>
      </w:r>
      <w:r w:rsidRPr="005B6DAB">
        <w:rPr>
          <w:rFonts w:cs="Arial"/>
          <w:sz w:val="16"/>
          <w:szCs w:val="16"/>
          <w:lang w:val="cs-CZ"/>
        </w:rPr>
        <w:t xml:space="preserve">GUITTON, J., HRISTOVA, B., POZZATO, V.: </w:t>
      </w:r>
      <w:proofErr w:type="spellStart"/>
      <w:r w:rsidRPr="005B6DAB">
        <w:rPr>
          <w:rFonts w:cs="Arial"/>
          <w:sz w:val="16"/>
          <w:szCs w:val="16"/>
          <w:lang w:val="cs-CZ"/>
        </w:rPr>
        <w:t>Of</w:t>
      </w:r>
      <w:proofErr w:type="spellEnd"/>
      <w:r w:rsidRPr="005B6DAB">
        <w:rPr>
          <w:rFonts w:cs="Arial"/>
          <w:sz w:val="16"/>
          <w:szCs w:val="16"/>
          <w:lang w:val="cs-CZ"/>
        </w:rPr>
        <w:t xml:space="preserve"> </w:t>
      </w:r>
      <w:proofErr w:type="spellStart"/>
      <w:r w:rsidRPr="005B6DAB">
        <w:rPr>
          <w:rFonts w:cs="Arial"/>
          <w:sz w:val="16"/>
          <w:szCs w:val="16"/>
          <w:lang w:val="cs-CZ"/>
        </w:rPr>
        <w:t>spectrum</w:t>
      </w:r>
      <w:proofErr w:type="spellEnd"/>
      <w:r w:rsidRPr="005B6DAB">
        <w:rPr>
          <w:rFonts w:cs="Arial"/>
          <w:sz w:val="16"/>
          <w:szCs w:val="16"/>
          <w:lang w:val="cs-CZ"/>
        </w:rPr>
        <w:t xml:space="preserve"> and </w:t>
      </w:r>
      <w:proofErr w:type="spellStart"/>
      <w:r w:rsidRPr="005B6DAB">
        <w:rPr>
          <w:rFonts w:cs="Arial"/>
          <w:sz w:val="16"/>
          <w:szCs w:val="16"/>
          <w:lang w:val="cs-CZ"/>
        </w:rPr>
        <w:t>radio</w:t>
      </w:r>
      <w:proofErr w:type="spellEnd"/>
      <w:r w:rsidRPr="005B6DAB">
        <w:rPr>
          <w:rFonts w:cs="Arial"/>
          <w:sz w:val="16"/>
          <w:szCs w:val="16"/>
          <w:lang w:val="cs-CZ"/>
        </w:rPr>
        <w:t xml:space="preserve"> </w:t>
      </w:r>
      <w:proofErr w:type="spellStart"/>
      <w:r w:rsidRPr="005B6DAB">
        <w:rPr>
          <w:rFonts w:cs="Arial"/>
          <w:sz w:val="16"/>
          <w:szCs w:val="16"/>
          <w:lang w:val="cs-CZ"/>
        </w:rPr>
        <w:t>access</w:t>
      </w:r>
      <w:proofErr w:type="spellEnd"/>
      <w:r w:rsidRPr="005B6DAB">
        <w:rPr>
          <w:rFonts w:cs="Arial"/>
          <w:sz w:val="16"/>
          <w:szCs w:val="16"/>
          <w:lang w:val="cs-CZ"/>
        </w:rPr>
        <w:t xml:space="preserve"> </w:t>
      </w:r>
      <w:proofErr w:type="spellStart"/>
      <w:r w:rsidRPr="005B6DAB">
        <w:rPr>
          <w:rFonts w:cs="Arial"/>
          <w:sz w:val="16"/>
          <w:szCs w:val="16"/>
          <w:lang w:val="cs-CZ"/>
        </w:rPr>
        <w:t>networks</w:t>
      </w:r>
      <w:proofErr w:type="spellEnd"/>
      <w:r w:rsidRPr="005B6DAB">
        <w:rPr>
          <w:rFonts w:cs="Arial"/>
          <w:sz w:val="16"/>
          <w:szCs w:val="16"/>
          <w:lang w:val="cs-CZ"/>
        </w:rPr>
        <w:t xml:space="preserve">: </w:t>
      </w:r>
      <w:proofErr w:type="spellStart"/>
      <w:r w:rsidRPr="005B6DAB">
        <w:rPr>
          <w:rFonts w:cs="Arial"/>
          <w:sz w:val="16"/>
          <w:szCs w:val="16"/>
          <w:lang w:val="cs-CZ"/>
        </w:rPr>
        <w:t>the</w:t>
      </w:r>
      <w:proofErr w:type="spellEnd"/>
      <w:r w:rsidRPr="005B6DAB">
        <w:rPr>
          <w:rFonts w:cs="Arial"/>
          <w:sz w:val="16"/>
          <w:szCs w:val="16"/>
          <w:lang w:val="cs-CZ"/>
        </w:rPr>
        <w:t xml:space="preserve"> T-Mobile/Orange joint venture in </w:t>
      </w:r>
      <w:proofErr w:type="spellStart"/>
      <w:r w:rsidRPr="005B6DAB">
        <w:rPr>
          <w:rFonts w:cs="Arial"/>
          <w:sz w:val="16"/>
          <w:szCs w:val="16"/>
          <w:lang w:val="cs-CZ"/>
        </w:rPr>
        <w:t>the</w:t>
      </w:r>
      <w:proofErr w:type="spellEnd"/>
      <w:r w:rsidRPr="005B6DAB">
        <w:rPr>
          <w:rFonts w:cs="Arial"/>
          <w:sz w:val="16"/>
          <w:szCs w:val="16"/>
          <w:lang w:val="cs-CZ"/>
        </w:rPr>
        <w:t xml:space="preserve"> UK, 2010. </w:t>
      </w:r>
      <w:r w:rsidRPr="005B32A3">
        <w:rPr>
          <w:rFonts w:cs="Arial"/>
          <w:sz w:val="16"/>
          <w:szCs w:val="16"/>
          <w:lang w:val="cs-CZ"/>
        </w:rPr>
        <w:t>http://ec.europa.eu/competition/publications/cpn/2010_2_6.pdf</w:t>
      </w:r>
      <w:r w:rsidRPr="00843D00">
        <w:rPr>
          <w:rFonts w:cs="Arial"/>
          <w:sz w:val="16"/>
          <w:szCs w:val="16"/>
        </w:rPr>
        <w:t>.</w:t>
      </w:r>
      <w:r w:rsidRPr="005B6DAB">
        <w:rPr>
          <w:rFonts w:cs="Arial"/>
          <w:sz w:val="16"/>
          <w:szCs w:val="16"/>
          <w:lang w:val="cs-CZ"/>
        </w:rPr>
        <w:t xml:space="preserve"> </w:t>
      </w:r>
    </w:p>
  </w:footnote>
  <w:footnote w:id="92">
    <w:p w14:paraId="5195BB03"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lang w:val="fr-FR"/>
        </w:rPr>
        <w:t xml:space="preserve"> </w:t>
      </w:r>
      <w:r w:rsidRPr="005B6DAB">
        <w:rPr>
          <w:rFonts w:cs="Arial"/>
          <w:sz w:val="16"/>
          <w:szCs w:val="16"/>
          <w:lang w:val="cs-CZ"/>
        </w:rPr>
        <w:t xml:space="preserve">Rozhodnutí Komise COMP/M.5650, čl. 91 – 108. </w:t>
      </w:r>
    </w:p>
  </w:footnote>
  <w:footnote w:id="93">
    <w:p w14:paraId="783441EC"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rPr>
        <w:t xml:space="preserve"> </w:t>
      </w:r>
      <w:r w:rsidRPr="005B6DAB">
        <w:rPr>
          <w:rFonts w:cs="Arial"/>
          <w:sz w:val="16"/>
          <w:szCs w:val="16"/>
          <w:lang w:val="cs-CZ"/>
        </w:rPr>
        <w:t xml:space="preserve">GUITTON, J., HRISTOVA, B., POZZATO, V.: </w:t>
      </w:r>
      <w:proofErr w:type="spellStart"/>
      <w:r w:rsidRPr="005B6DAB">
        <w:rPr>
          <w:rFonts w:cs="Arial"/>
          <w:sz w:val="16"/>
          <w:szCs w:val="16"/>
          <w:lang w:val="cs-CZ"/>
        </w:rPr>
        <w:t>Of</w:t>
      </w:r>
      <w:proofErr w:type="spellEnd"/>
      <w:r w:rsidRPr="005B6DAB">
        <w:rPr>
          <w:rFonts w:cs="Arial"/>
          <w:sz w:val="16"/>
          <w:szCs w:val="16"/>
          <w:lang w:val="cs-CZ"/>
        </w:rPr>
        <w:t xml:space="preserve"> </w:t>
      </w:r>
      <w:proofErr w:type="spellStart"/>
      <w:r w:rsidRPr="005B6DAB">
        <w:rPr>
          <w:rFonts w:cs="Arial"/>
          <w:sz w:val="16"/>
          <w:szCs w:val="16"/>
          <w:lang w:val="cs-CZ"/>
        </w:rPr>
        <w:t>spectrum</w:t>
      </w:r>
      <w:proofErr w:type="spellEnd"/>
      <w:r w:rsidRPr="005B6DAB">
        <w:rPr>
          <w:rFonts w:cs="Arial"/>
          <w:sz w:val="16"/>
          <w:szCs w:val="16"/>
          <w:lang w:val="cs-CZ"/>
        </w:rPr>
        <w:t xml:space="preserve"> and </w:t>
      </w:r>
      <w:proofErr w:type="spellStart"/>
      <w:r w:rsidRPr="005B6DAB">
        <w:rPr>
          <w:rFonts w:cs="Arial"/>
          <w:sz w:val="16"/>
          <w:szCs w:val="16"/>
          <w:lang w:val="cs-CZ"/>
        </w:rPr>
        <w:t>radio</w:t>
      </w:r>
      <w:proofErr w:type="spellEnd"/>
      <w:r w:rsidRPr="005B6DAB">
        <w:rPr>
          <w:rFonts w:cs="Arial"/>
          <w:sz w:val="16"/>
          <w:szCs w:val="16"/>
          <w:lang w:val="cs-CZ"/>
        </w:rPr>
        <w:t xml:space="preserve"> </w:t>
      </w:r>
      <w:proofErr w:type="spellStart"/>
      <w:r w:rsidRPr="005B6DAB">
        <w:rPr>
          <w:rFonts w:cs="Arial"/>
          <w:sz w:val="16"/>
          <w:szCs w:val="16"/>
          <w:lang w:val="cs-CZ"/>
        </w:rPr>
        <w:t>access</w:t>
      </w:r>
      <w:proofErr w:type="spellEnd"/>
      <w:r w:rsidRPr="005B6DAB">
        <w:rPr>
          <w:rFonts w:cs="Arial"/>
          <w:sz w:val="16"/>
          <w:szCs w:val="16"/>
          <w:lang w:val="cs-CZ"/>
        </w:rPr>
        <w:t xml:space="preserve"> </w:t>
      </w:r>
      <w:proofErr w:type="spellStart"/>
      <w:r w:rsidRPr="005B6DAB">
        <w:rPr>
          <w:rFonts w:cs="Arial"/>
          <w:sz w:val="16"/>
          <w:szCs w:val="16"/>
          <w:lang w:val="cs-CZ"/>
        </w:rPr>
        <w:t>networks</w:t>
      </w:r>
      <w:proofErr w:type="spellEnd"/>
      <w:r w:rsidRPr="005B6DAB">
        <w:rPr>
          <w:rFonts w:cs="Arial"/>
          <w:sz w:val="16"/>
          <w:szCs w:val="16"/>
          <w:lang w:val="cs-CZ"/>
        </w:rPr>
        <w:t xml:space="preserve">: </w:t>
      </w:r>
      <w:proofErr w:type="spellStart"/>
      <w:r w:rsidRPr="005B6DAB">
        <w:rPr>
          <w:rFonts w:cs="Arial"/>
          <w:sz w:val="16"/>
          <w:szCs w:val="16"/>
          <w:lang w:val="cs-CZ"/>
        </w:rPr>
        <w:t>the</w:t>
      </w:r>
      <w:proofErr w:type="spellEnd"/>
      <w:r w:rsidRPr="005B6DAB">
        <w:rPr>
          <w:rFonts w:cs="Arial"/>
          <w:sz w:val="16"/>
          <w:szCs w:val="16"/>
          <w:lang w:val="cs-CZ"/>
        </w:rPr>
        <w:t xml:space="preserve"> T-Mobile/Orange joint venture in </w:t>
      </w:r>
      <w:proofErr w:type="spellStart"/>
      <w:r w:rsidRPr="005B6DAB">
        <w:rPr>
          <w:rFonts w:cs="Arial"/>
          <w:sz w:val="16"/>
          <w:szCs w:val="16"/>
          <w:lang w:val="cs-CZ"/>
        </w:rPr>
        <w:t>the</w:t>
      </w:r>
      <w:proofErr w:type="spellEnd"/>
      <w:r w:rsidRPr="005B6DAB">
        <w:rPr>
          <w:rFonts w:cs="Arial"/>
          <w:sz w:val="16"/>
          <w:szCs w:val="16"/>
          <w:lang w:val="cs-CZ"/>
        </w:rPr>
        <w:t xml:space="preserve"> UK, 2010, str. 31 – 33. </w:t>
      </w:r>
    </w:p>
  </w:footnote>
  <w:footnote w:id="94">
    <w:p w14:paraId="07D1E0CA"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lang w:val="cs-CZ"/>
        </w:rPr>
        <w:t xml:space="preserve"> OFCOM, </w:t>
      </w:r>
      <w:proofErr w:type="spellStart"/>
      <w:r w:rsidRPr="005B6DAB">
        <w:rPr>
          <w:rFonts w:cs="Arial"/>
          <w:sz w:val="16"/>
          <w:szCs w:val="16"/>
          <w:lang w:val="cs-CZ"/>
        </w:rPr>
        <w:t>Infrastructure</w:t>
      </w:r>
      <w:proofErr w:type="spellEnd"/>
      <w:r w:rsidRPr="005B6DAB">
        <w:rPr>
          <w:rFonts w:cs="Arial"/>
          <w:sz w:val="16"/>
          <w:szCs w:val="16"/>
          <w:lang w:val="cs-CZ"/>
        </w:rPr>
        <w:t xml:space="preserve"> Report 2014, str. 93 </w:t>
      </w:r>
      <w:r w:rsidRPr="005B32A3">
        <w:rPr>
          <w:rFonts w:cs="Arial"/>
          <w:sz w:val="16"/>
          <w:szCs w:val="16"/>
          <w:lang w:val="cs-CZ"/>
        </w:rPr>
        <w:t>http://stakeholders.ofcom.org.uk/binaries/research/infrastructure/2014/infrastructure-14.pdf</w:t>
      </w:r>
      <w:r w:rsidRPr="00E53C80">
        <w:rPr>
          <w:rFonts w:cs="Arial"/>
          <w:sz w:val="16"/>
          <w:szCs w:val="16"/>
          <w:lang w:val="cs-CZ"/>
        </w:rPr>
        <w:t>.</w:t>
      </w:r>
      <w:r w:rsidRPr="005B6DAB">
        <w:rPr>
          <w:rFonts w:cs="Arial"/>
          <w:sz w:val="16"/>
          <w:szCs w:val="16"/>
          <w:lang w:val="cs-CZ"/>
        </w:rPr>
        <w:t xml:space="preserve"> </w:t>
      </w:r>
    </w:p>
  </w:footnote>
  <w:footnote w:id="95">
    <w:p w14:paraId="19A96826"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lang w:val="cs-CZ"/>
        </w:rPr>
        <w:t xml:space="preserve"> OFCOM, str. 17.</w:t>
      </w:r>
    </w:p>
  </w:footnote>
  <w:footnote w:id="96">
    <w:p w14:paraId="130D2737"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lang w:val="cs-CZ"/>
        </w:rPr>
        <w:t xml:space="preserve"> Rozhodnutí o schválení ze dne 28. září 2012. Dostupné z: </w:t>
      </w:r>
      <w:r w:rsidRPr="005B32A3">
        <w:rPr>
          <w:rFonts w:cs="Arial"/>
          <w:sz w:val="16"/>
          <w:szCs w:val="16"/>
          <w:lang w:val="cs-CZ"/>
        </w:rPr>
        <w:t>http://webarchive.nationalarchives.gov.uk/20140402142426/http://www.oft.gov.uk/shared_oft/mergers_ea02/2012/vodafone.pdf</w:t>
      </w:r>
      <w:r w:rsidRPr="00E53C80">
        <w:rPr>
          <w:rFonts w:cs="Arial"/>
          <w:sz w:val="16"/>
          <w:szCs w:val="16"/>
          <w:lang w:val="fr-FR"/>
        </w:rPr>
        <w:t>.</w:t>
      </w:r>
      <w:r w:rsidRPr="005B6DAB">
        <w:rPr>
          <w:rFonts w:cs="Arial"/>
          <w:sz w:val="16"/>
          <w:szCs w:val="16"/>
          <w:lang w:val="cs-CZ"/>
        </w:rPr>
        <w:t xml:space="preserve"> </w:t>
      </w:r>
    </w:p>
  </w:footnote>
  <w:footnote w:id="97">
    <w:p w14:paraId="7AA61F4D"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rPr>
        <w:t xml:space="preserve"> </w:t>
      </w:r>
      <w:r w:rsidRPr="005B6DAB">
        <w:rPr>
          <w:rFonts w:cs="Arial"/>
          <w:sz w:val="16"/>
          <w:szCs w:val="16"/>
          <w:lang w:val="cs-CZ"/>
        </w:rPr>
        <w:t xml:space="preserve">OFCOM, </w:t>
      </w:r>
      <w:proofErr w:type="spellStart"/>
      <w:r w:rsidRPr="005B6DAB">
        <w:rPr>
          <w:rFonts w:cs="Arial"/>
          <w:sz w:val="16"/>
          <w:szCs w:val="16"/>
          <w:lang w:val="cs-CZ"/>
        </w:rPr>
        <w:t>Infrastructure</w:t>
      </w:r>
      <w:proofErr w:type="spellEnd"/>
      <w:r w:rsidRPr="005B6DAB">
        <w:rPr>
          <w:rFonts w:cs="Arial"/>
          <w:sz w:val="16"/>
          <w:szCs w:val="16"/>
          <w:lang w:val="cs-CZ"/>
        </w:rPr>
        <w:t xml:space="preserve"> Report 2014, str. 93 </w:t>
      </w:r>
      <w:r w:rsidRPr="005B32A3">
        <w:rPr>
          <w:rFonts w:cs="Arial"/>
          <w:sz w:val="16"/>
          <w:szCs w:val="16"/>
          <w:lang w:val="cs-CZ"/>
        </w:rPr>
        <w:t>http://stakeholders.ofcom.org.uk/binaries/research/infrastructure/2014/infrastructure-14.pdf</w:t>
      </w:r>
      <w:r w:rsidRPr="005B6DAB">
        <w:rPr>
          <w:rFonts w:cs="Arial"/>
          <w:sz w:val="16"/>
          <w:szCs w:val="16"/>
        </w:rPr>
        <w:t>.</w:t>
      </w:r>
      <w:r w:rsidRPr="005B6DAB">
        <w:rPr>
          <w:rFonts w:cs="Arial"/>
          <w:sz w:val="16"/>
          <w:szCs w:val="16"/>
          <w:lang w:val="cs-CZ"/>
        </w:rPr>
        <w:t xml:space="preserve"> </w:t>
      </w:r>
    </w:p>
  </w:footnote>
  <w:footnote w:id="98">
    <w:p w14:paraId="520BC143"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rPr>
        <w:t xml:space="preserve"> </w:t>
      </w:r>
      <w:r w:rsidRPr="005B6DAB">
        <w:rPr>
          <w:rFonts w:cs="Arial"/>
          <w:sz w:val="16"/>
          <w:szCs w:val="16"/>
          <w:lang w:val="cs-CZ"/>
        </w:rPr>
        <w:t xml:space="preserve">CMS Network </w:t>
      </w:r>
      <w:proofErr w:type="spellStart"/>
      <w:r w:rsidRPr="005B6DAB">
        <w:rPr>
          <w:rFonts w:cs="Arial"/>
          <w:sz w:val="16"/>
          <w:szCs w:val="16"/>
          <w:lang w:val="cs-CZ"/>
        </w:rPr>
        <w:t>Sharing</w:t>
      </w:r>
      <w:proofErr w:type="spellEnd"/>
      <w:r w:rsidRPr="005B6DAB">
        <w:rPr>
          <w:rFonts w:cs="Arial"/>
          <w:sz w:val="16"/>
          <w:szCs w:val="16"/>
          <w:lang w:val="cs-CZ"/>
        </w:rPr>
        <w:t xml:space="preserve"> Study 2014: </w:t>
      </w:r>
      <w:proofErr w:type="spellStart"/>
      <w:r w:rsidRPr="005B6DAB">
        <w:rPr>
          <w:rFonts w:cs="Arial"/>
          <w:sz w:val="16"/>
          <w:szCs w:val="16"/>
          <w:lang w:val="cs-CZ"/>
        </w:rPr>
        <w:t>The</w:t>
      </w:r>
      <w:proofErr w:type="spellEnd"/>
      <w:r w:rsidRPr="005B6DAB">
        <w:rPr>
          <w:rFonts w:cs="Arial"/>
          <w:sz w:val="16"/>
          <w:szCs w:val="16"/>
          <w:lang w:val="cs-CZ"/>
        </w:rPr>
        <w:t xml:space="preserve"> 4G </w:t>
      </w:r>
      <w:proofErr w:type="spellStart"/>
      <w:r w:rsidRPr="005B6DAB">
        <w:rPr>
          <w:rFonts w:cs="Arial"/>
          <w:sz w:val="16"/>
          <w:szCs w:val="16"/>
          <w:lang w:val="cs-CZ"/>
        </w:rPr>
        <w:t>race</w:t>
      </w:r>
      <w:proofErr w:type="spellEnd"/>
      <w:r w:rsidRPr="005B6DAB">
        <w:rPr>
          <w:rFonts w:cs="Arial"/>
          <w:sz w:val="16"/>
          <w:szCs w:val="16"/>
          <w:lang w:val="cs-CZ"/>
        </w:rPr>
        <w:t xml:space="preserve"> – </w:t>
      </w:r>
      <w:proofErr w:type="spellStart"/>
      <w:r w:rsidRPr="005B6DAB">
        <w:rPr>
          <w:rFonts w:cs="Arial"/>
          <w:sz w:val="16"/>
          <w:szCs w:val="16"/>
          <w:lang w:val="cs-CZ"/>
        </w:rPr>
        <w:t>catching</w:t>
      </w:r>
      <w:proofErr w:type="spellEnd"/>
      <w:r w:rsidRPr="005B6DAB">
        <w:rPr>
          <w:rFonts w:cs="Arial"/>
          <w:sz w:val="16"/>
          <w:szCs w:val="16"/>
          <w:lang w:val="cs-CZ"/>
        </w:rPr>
        <w:t xml:space="preserve"> up </w:t>
      </w:r>
      <w:proofErr w:type="spellStart"/>
      <w:r w:rsidRPr="005B6DAB">
        <w:rPr>
          <w:rFonts w:cs="Arial"/>
          <w:sz w:val="16"/>
          <w:szCs w:val="16"/>
          <w:lang w:val="cs-CZ"/>
        </w:rPr>
        <w:t>or</w:t>
      </w:r>
      <w:proofErr w:type="spellEnd"/>
      <w:r w:rsidRPr="005B6DAB">
        <w:rPr>
          <w:rFonts w:cs="Arial"/>
          <w:sz w:val="16"/>
          <w:szCs w:val="16"/>
          <w:lang w:val="cs-CZ"/>
        </w:rPr>
        <w:t xml:space="preserve"> </w:t>
      </w:r>
      <w:proofErr w:type="spellStart"/>
      <w:r w:rsidRPr="005B6DAB">
        <w:rPr>
          <w:rFonts w:cs="Arial"/>
          <w:sz w:val="16"/>
          <w:szCs w:val="16"/>
          <w:lang w:val="cs-CZ"/>
        </w:rPr>
        <w:t>falling</w:t>
      </w:r>
      <w:proofErr w:type="spellEnd"/>
      <w:r w:rsidRPr="005B6DAB">
        <w:rPr>
          <w:rFonts w:cs="Arial"/>
          <w:sz w:val="16"/>
          <w:szCs w:val="16"/>
          <w:lang w:val="cs-CZ"/>
        </w:rPr>
        <w:t xml:space="preserve"> </w:t>
      </w:r>
      <w:proofErr w:type="spellStart"/>
      <w:r w:rsidRPr="005B6DAB">
        <w:rPr>
          <w:rFonts w:cs="Arial"/>
          <w:sz w:val="16"/>
          <w:szCs w:val="16"/>
          <w:lang w:val="cs-CZ"/>
        </w:rPr>
        <w:t>behind</w:t>
      </w:r>
      <w:proofErr w:type="spellEnd"/>
      <w:r w:rsidRPr="005B6DAB">
        <w:rPr>
          <w:rFonts w:cs="Arial"/>
          <w:sz w:val="16"/>
          <w:szCs w:val="16"/>
          <w:lang w:val="cs-CZ"/>
        </w:rPr>
        <w:t xml:space="preserve">? </w:t>
      </w:r>
      <w:proofErr w:type="gramStart"/>
      <w:r w:rsidRPr="005B32A3">
        <w:rPr>
          <w:rFonts w:cs="Arial"/>
          <w:sz w:val="16"/>
          <w:szCs w:val="16"/>
          <w:lang w:val="cs-CZ"/>
        </w:rPr>
        <w:t>http</w:t>
      </w:r>
      <w:proofErr w:type="gramEnd"/>
      <w:r w:rsidRPr="005B32A3">
        <w:rPr>
          <w:rFonts w:cs="Arial"/>
          <w:sz w:val="16"/>
          <w:szCs w:val="16"/>
          <w:lang w:val="cs-CZ"/>
        </w:rPr>
        <w:t>://www.cms-dsb.com/Hubbard.FileSystem/files/Publication/a71b70bd-5288-4fab-9357-41e9478c5b81/Presentation/PublicationAttachment/287eff67-2fa8-411b-b067-4952106e12b7/CMS%20Network%20Sharing%20Study%202014_a.pdf</w:t>
      </w:r>
      <w:r w:rsidRPr="005B6DAB">
        <w:rPr>
          <w:rFonts w:cs="Arial"/>
          <w:sz w:val="16"/>
          <w:szCs w:val="16"/>
        </w:rPr>
        <w:t>.</w:t>
      </w:r>
      <w:r w:rsidRPr="005B6DAB">
        <w:rPr>
          <w:rFonts w:cs="Arial"/>
          <w:sz w:val="16"/>
          <w:szCs w:val="16"/>
          <w:lang w:val="cs-CZ"/>
        </w:rPr>
        <w:t xml:space="preserve"> </w:t>
      </w:r>
    </w:p>
  </w:footnote>
  <w:footnote w:id="99">
    <w:p w14:paraId="2801FD96"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rPr>
        <w:t xml:space="preserve"> </w:t>
      </w:r>
      <w:proofErr w:type="spellStart"/>
      <w:r w:rsidRPr="005B6DAB">
        <w:rPr>
          <w:rFonts w:cs="Arial"/>
          <w:sz w:val="16"/>
          <w:szCs w:val="16"/>
          <w:lang w:val="cs-CZ"/>
        </w:rPr>
        <w:t>Notice</w:t>
      </w:r>
      <w:proofErr w:type="spellEnd"/>
      <w:r w:rsidRPr="005B6DAB">
        <w:rPr>
          <w:rFonts w:cs="Arial"/>
          <w:sz w:val="16"/>
          <w:szCs w:val="16"/>
          <w:lang w:val="cs-CZ"/>
        </w:rPr>
        <w:t xml:space="preserve"> by Telefónica </w:t>
      </w:r>
      <w:proofErr w:type="spellStart"/>
      <w:r w:rsidRPr="005B6DAB">
        <w:rPr>
          <w:rFonts w:cs="Arial"/>
          <w:sz w:val="16"/>
          <w:szCs w:val="16"/>
          <w:lang w:val="cs-CZ"/>
        </w:rPr>
        <w:t>from</w:t>
      </w:r>
      <w:proofErr w:type="spellEnd"/>
      <w:r w:rsidRPr="005B6DAB">
        <w:rPr>
          <w:rFonts w:cs="Arial"/>
          <w:sz w:val="16"/>
          <w:szCs w:val="16"/>
          <w:lang w:val="cs-CZ"/>
        </w:rPr>
        <w:t xml:space="preserve"> 7 June 2012. Dostupný z: </w:t>
      </w:r>
      <w:r w:rsidRPr="005B32A3">
        <w:rPr>
          <w:rFonts w:cs="Arial"/>
          <w:sz w:val="16"/>
          <w:szCs w:val="16"/>
          <w:lang w:val="cs-CZ"/>
        </w:rPr>
        <w:t>http://www.telefonica.com/en/shareholders-investors/pdf/hr_20120607.pdf</w:t>
      </w:r>
      <w:r w:rsidRPr="00E53C80">
        <w:rPr>
          <w:rFonts w:cs="Arial"/>
          <w:sz w:val="16"/>
          <w:szCs w:val="16"/>
          <w:lang w:val="fr-FR"/>
        </w:rPr>
        <w:t>.</w:t>
      </w:r>
      <w:r w:rsidRPr="005B6DAB">
        <w:rPr>
          <w:rFonts w:cs="Arial"/>
          <w:sz w:val="16"/>
          <w:szCs w:val="16"/>
          <w:lang w:val="cs-CZ"/>
        </w:rPr>
        <w:t xml:space="preserve"> </w:t>
      </w:r>
    </w:p>
  </w:footnote>
  <w:footnote w:id="100">
    <w:p w14:paraId="6F6A1996"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rPr>
        <w:t xml:space="preserve"> </w:t>
      </w:r>
      <w:r w:rsidRPr="005B6DAB">
        <w:rPr>
          <w:rFonts w:cs="Arial"/>
          <w:sz w:val="16"/>
          <w:szCs w:val="16"/>
          <w:lang w:val="cs-CZ"/>
        </w:rPr>
        <w:t xml:space="preserve">V angličtině tzv. </w:t>
      </w:r>
      <w:r w:rsidRPr="00E31EB9">
        <w:rPr>
          <w:rFonts w:cs="Arial"/>
          <w:i/>
          <w:sz w:val="16"/>
          <w:szCs w:val="16"/>
          <w:lang w:val="cs-CZ"/>
        </w:rPr>
        <w:t>host</w:t>
      </w:r>
      <w:r w:rsidRPr="005B6DAB">
        <w:rPr>
          <w:rFonts w:cs="Arial"/>
          <w:sz w:val="16"/>
          <w:szCs w:val="16"/>
          <w:lang w:val="cs-CZ"/>
        </w:rPr>
        <w:t xml:space="preserve"> nebo </w:t>
      </w:r>
      <w:r w:rsidRPr="00E31EB9">
        <w:rPr>
          <w:rFonts w:cs="Arial"/>
          <w:i/>
          <w:sz w:val="16"/>
          <w:szCs w:val="16"/>
          <w:lang w:val="cs-CZ"/>
        </w:rPr>
        <w:t xml:space="preserve">master </w:t>
      </w:r>
      <w:proofErr w:type="spellStart"/>
      <w:r w:rsidRPr="00E31EB9">
        <w:rPr>
          <w:rFonts w:cs="Arial"/>
          <w:i/>
          <w:sz w:val="16"/>
          <w:szCs w:val="16"/>
          <w:lang w:val="cs-CZ"/>
        </w:rPr>
        <w:t>operator</w:t>
      </w:r>
      <w:proofErr w:type="spellEnd"/>
      <w:r w:rsidRPr="005B6DAB">
        <w:rPr>
          <w:rFonts w:cs="Arial"/>
          <w:sz w:val="16"/>
          <w:szCs w:val="16"/>
          <w:lang w:val="cs-CZ"/>
        </w:rPr>
        <w:t>.</w:t>
      </w:r>
    </w:p>
  </w:footnote>
  <w:footnote w:id="101">
    <w:p w14:paraId="5464953D"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rPr>
        <w:t xml:space="preserve"> </w:t>
      </w:r>
      <w:r w:rsidRPr="005B6DAB">
        <w:rPr>
          <w:rFonts w:cs="Arial"/>
          <w:sz w:val="16"/>
          <w:szCs w:val="16"/>
          <w:lang w:val="cs-CZ"/>
        </w:rPr>
        <w:t>OECD, str. 66.</w:t>
      </w:r>
    </w:p>
  </w:footnote>
  <w:footnote w:id="102">
    <w:p w14:paraId="31BE27D8"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lang w:val="de-DE"/>
        </w:rPr>
        <w:t xml:space="preserve"> </w:t>
      </w:r>
      <w:proofErr w:type="spellStart"/>
      <w:r w:rsidRPr="005B6DAB">
        <w:rPr>
          <w:rFonts w:cs="Arial"/>
          <w:sz w:val="16"/>
          <w:szCs w:val="16"/>
          <w:lang w:val="de-DE"/>
        </w:rPr>
        <w:t>Rozhodnutí</w:t>
      </w:r>
      <w:proofErr w:type="spellEnd"/>
      <w:r w:rsidRPr="005B6DAB">
        <w:rPr>
          <w:rFonts w:cs="Arial"/>
          <w:sz w:val="16"/>
          <w:szCs w:val="16"/>
          <w:lang w:val="de-DE"/>
        </w:rPr>
        <w:t xml:space="preserve"> OFT: </w:t>
      </w:r>
      <w:r w:rsidRPr="005B32A3">
        <w:rPr>
          <w:rFonts w:cs="Arial"/>
          <w:sz w:val="16"/>
          <w:szCs w:val="16"/>
          <w:lang w:val="de-DE"/>
        </w:rPr>
        <w:t>http://webarchive.nationalarchives.gov.uk/20140402142426/http://www.oft.gov.uk/shared_oft/mergers_ea02/2012/vodafone.pdf</w:t>
      </w:r>
      <w:r w:rsidRPr="005B6DAB">
        <w:rPr>
          <w:rFonts w:cs="Arial"/>
          <w:sz w:val="16"/>
          <w:szCs w:val="16"/>
          <w:lang w:val="de-AT"/>
        </w:rPr>
        <w:t>.</w:t>
      </w:r>
      <w:r w:rsidRPr="005B6DAB">
        <w:rPr>
          <w:rFonts w:cs="Arial"/>
          <w:sz w:val="16"/>
          <w:szCs w:val="16"/>
          <w:lang w:val="de-DE"/>
        </w:rPr>
        <w:t xml:space="preserve"> </w:t>
      </w:r>
    </w:p>
  </w:footnote>
  <w:footnote w:id="103">
    <w:p w14:paraId="670B4569"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rPr>
        <w:t xml:space="preserve"> </w:t>
      </w:r>
      <w:r w:rsidRPr="005B6DAB">
        <w:rPr>
          <w:rFonts w:cs="Arial"/>
          <w:sz w:val="16"/>
          <w:szCs w:val="16"/>
          <w:lang w:val="cs-CZ"/>
        </w:rPr>
        <w:t>Čl. 22 rozhodnutí.</w:t>
      </w:r>
    </w:p>
  </w:footnote>
  <w:footnote w:id="104">
    <w:p w14:paraId="3672B2F9"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rPr>
        <w:t xml:space="preserve"> </w:t>
      </w:r>
      <w:r w:rsidRPr="005B6DAB">
        <w:rPr>
          <w:rFonts w:cs="Arial"/>
          <w:sz w:val="16"/>
          <w:szCs w:val="16"/>
          <w:lang w:val="cs-CZ"/>
        </w:rPr>
        <w:t xml:space="preserve">Dle bodu 3.10 OFT527 – </w:t>
      </w:r>
      <w:proofErr w:type="spellStart"/>
      <w:r w:rsidRPr="005B6DAB">
        <w:rPr>
          <w:rFonts w:cs="Arial"/>
          <w:sz w:val="16"/>
          <w:szCs w:val="16"/>
          <w:lang w:val="cs-CZ"/>
        </w:rPr>
        <w:t>Jurisdictional</w:t>
      </w:r>
      <w:proofErr w:type="spellEnd"/>
      <w:r w:rsidRPr="005B6DAB">
        <w:rPr>
          <w:rFonts w:cs="Arial"/>
          <w:sz w:val="16"/>
          <w:szCs w:val="16"/>
          <w:lang w:val="cs-CZ"/>
        </w:rPr>
        <w:t xml:space="preserve"> and </w:t>
      </w:r>
      <w:proofErr w:type="spellStart"/>
      <w:r w:rsidRPr="005B6DAB">
        <w:rPr>
          <w:rFonts w:cs="Arial"/>
          <w:sz w:val="16"/>
          <w:szCs w:val="16"/>
          <w:lang w:val="cs-CZ"/>
        </w:rPr>
        <w:t>Procedureal</w:t>
      </w:r>
      <w:proofErr w:type="spellEnd"/>
      <w:r w:rsidRPr="005B6DAB">
        <w:rPr>
          <w:rFonts w:cs="Arial"/>
          <w:sz w:val="16"/>
          <w:szCs w:val="16"/>
          <w:lang w:val="cs-CZ"/>
        </w:rPr>
        <w:t xml:space="preserve"> </w:t>
      </w:r>
      <w:proofErr w:type="spellStart"/>
      <w:r w:rsidRPr="005B6DAB">
        <w:rPr>
          <w:rFonts w:cs="Arial"/>
          <w:sz w:val="16"/>
          <w:szCs w:val="16"/>
          <w:lang w:val="cs-CZ"/>
        </w:rPr>
        <w:t>Guidance</w:t>
      </w:r>
      <w:proofErr w:type="spellEnd"/>
      <w:r w:rsidRPr="005B6DAB">
        <w:rPr>
          <w:rFonts w:cs="Arial"/>
          <w:sz w:val="16"/>
          <w:szCs w:val="16"/>
          <w:lang w:val="cs-CZ"/>
        </w:rPr>
        <w:t xml:space="preserve">. </w:t>
      </w:r>
      <w:r w:rsidRPr="005B32A3">
        <w:rPr>
          <w:rFonts w:cs="Arial"/>
          <w:sz w:val="16"/>
          <w:szCs w:val="16"/>
          <w:lang w:val="cs-CZ"/>
        </w:rPr>
        <w:t>http://webarchive.nationalarchives.gov.uk/20140402142426/http://www.oft.gov.uk/shared_oft/mergers_ea02/oft527.pdf</w:t>
      </w:r>
    </w:p>
  </w:footnote>
  <w:footnote w:id="105">
    <w:p w14:paraId="6948CE86"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rPr>
        <w:t xml:space="preserve"> </w:t>
      </w:r>
      <w:r w:rsidRPr="005B6DAB">
        <w:rPr>
          <w:rFonts w:cs="Arial"/>
          <w:sz w:val="16"/>
          <w:szCs w:val="16"/>
          <w:lang w:val="cs-CZ"/>
        </w:rPr>
        <w:t>Body 82 a dále rozhodnutí OFT.</w:t>
      </w:r>
    </w:p>
  </w:footnote>
  <w:footnote w:id="106">
    <w:p w14:paraId="2927E33E" w14:textId="77777777" w:rsidR="00273E54" w:rsidRPr="005B32A3" w:rsidRDefault="00273E54" w:rsidP="00A163E1">
      <w:pPr>
        <w:pStyle w:val="Textpoznpodarou"/>
        <w:spacing w:before="0" w:after="0" w:line="276" w:lineRule="auto"/>
        <w:jc w:val="left"/>
        <w:rPr>
          <w:rFonts w:cs="Arial"/>
          <w:sz w:val="16"/>
          <w:szCs w:val="16"/>
        </w:rPr>
      </w:pPr>
      <w:r w:rsidRPr="005B6DAB">
        <w:rPr>
          <w:rStyle w:val="Znakapoznpodarou"/>
          <w:rFonts w:cs="Arial"/>
          <w:sz w:val="16"/>
          <w:szCs w:val="16"/>
        </w:rPr>
        <w:footnoteRef/>
      </w:r>
      <w:r w:rsidRPr="005B6DAB">
        <w:rPr>
          <w:rFonts w:cs="Arial"/>
          <w:sz w:val="16"/>
          <w:szCs w:val="16"/>
        </w:rPr>
        <w:t xml:space="preserve"> 3G Mobile Infrastructure </w:t>
      </w:r>
      <w:proofErr w:type="gramStart"/>
      <w:r w:rsidRPr="005B6DAB">
        <w:rPr>
          <w:rFonts w:cs="Arial"/>
          <w:sz w:val="16"/>
          <w:szCs w:val="16"/>
        </w:rPr>
        <w:t>Sharing</w:t>
      </w:r>
      <w:proofErr w:type="gramEnd"/>
      <w:r w:rsidRPr="005B6DAB">
        <w:rPr>
          <w:rFonts w:cs="Arial"/>
          <w:sz w:val="16"/>
          <w:szCs w:val="16"/>
        </w:rPr>
        <w:t xml:space="preserve"> in the UK - Note for information May 2001, </w:t>
      </w:r>
      <w:proofErr w:type="spellStart"/>
      <w:r w:rsidRPr="005B6DAB">
        <w:rPr>
          <w:rFonts w:cs="Arial"/>
          <w:sz w:val="16"/>
          <w:szCs w:val="16"/>
        </w:rPr>
        <w:t>dostupné</w:t>
      </w:r>
      <w:proofErr w:type="spellEnd"/>
      <w:r w:rsidRPr="005B6DAB">
        <w:rPr>
          <w:rFonts w:cs="Arial"/>
          <w:sz w:val="16"/>
          <w:szCs w:val="16"/>
        </w:rPr>
        <w:t xml:space="preserve"> z: </w:t>
      </w:r>
      <w:r w:rsidRPr="005B32A3">
        <w:rPr>
          <w:rFonts w:cs="Arial"/>
          <w:sz w:val="16"/>
          <w:szCs w:val="16"/>
        </w:rPr>
        <w:t>http://www.ofcom.org.uk/static/archive/oftel/publications/mobile/infrashare0501.htm</w:t>
      </w:r>
      <w:r>
        <w:rPr>
          <w:rFonts w:cs="Arial"/>
          <w:sz w:val="16"/>
          <w:szCs w:val="16"/>
        </w:rPr>
        <w:t>.</w:t>
      </w:r>
    </w:p>
  </w:footnote>
  <w:footnote w:id="107">
    <w:p w14:paraId="7A457EF6"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lang w:val="cs-CZ"/>
        </w:rPr>
        <w:t xml:space="preserve"> </w:t>
      </w:r>
      <w:proofErr w:type="spellStart"/>
      <w:r w:rsidRPr="005B6DAB">
        <w:rPr>
          <w:rFonts w:cs="Arial"/>
          <w:sz w:val="16"/>
          <w:szCs w:val="16"/>
          <w:lang w:val="cs-CZ"/>
        </w:rPr>
        <w:t>Ibid</w:t>
      </w:r>
      <w:proofErr w:type="spellEnd"/>
      <w:r w:rsidRPr="005B6DAB">
        <w:rPr>
          <w:rFonts w:cs="Arial"/>
          <w:sz w:val="16"/>
          <w:szCs w:val="16"/>
          <w:lang w:val="cs-CZ"/>
        </w:rPr>
        <w:t>, body 6, 14 a 15</w:t>
      </w:r>
      <w:r>
        <w:rPr>
          <w:rFonts w:cs="Arial"/>
          <w:sz w:val="16"/>
          <w:szCs w:val="16"/>
          <w:lang w:val="cs-CZ"/>
        </w:rPr>
        <w:t>.</w:t>
      </w:r>
    </w:p>
  </w:footnote>
  <w:footnote w:id="108">
    <w:p w14:paraId="5724A178"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lang w:val="cs-CZ"/>
        </w:rPr>
        <w:t xml:space="preserve"> Činnost OFT byla k 1. dubnu 2014 ukončena a její působnost a pravomoci byly přeneseny na tzv. </w:t>
      </w:r>
      <w:proofErr w:type="spellStart"/>
      <w:r w:rsidRPr="005B6DAB">
        <w:rPr>
          <w:rFonts w:cs="Arial"/>
          <w:sz w:val="16"/>
          <w:szCs w:val="16"/>
          <w:lang w:val="cs-CZ"/>
        </w:rPr>
        <w:t>Competition</w:t>
      </w:r>
      <w:proofErr w:type="spellEnd"/>
      <w:r w:rsidRPr="005B6DAB">
        <w:rPr>
          <w:rFonts w:cs="Arial"/>
          <w:sz w:val="16"/>
          <w:szCs w:val="16"/>
          <w:lang w:val="cs-CZ"/>
        </w:rPr>
        <w:t xml:space="preserve"> and </w:t>
      </w:r>
      <w:proofErr w:type="spellStart"/>
      <w:r w:rsidRPr="005B6DAB">
        <w:rPr>
          <w:rFonts w:cs="Arial"/>
          <w:sz w:val="16"/>
          <w:szCs w:val="16"/>
          <w:lang w:val="cs-CZ"/>
        </w:rPr>
        <w:t>Markets</w:t>
      </w:r>
      <w:proofErr w:type="spellEnd"/>
      <w:r w:rsidRPr="005B6DAB">
        <w:rPr>
          <w:rFonts w:cs="Arial"/>
          <w:sz w:val="16"/>
          <w:szCs w:val="16"/>
          <w:lang w:val="cs-CZ"/>
        </w:rPr>
        <w:t xml:space="preserve"> </w:t>
      </w:r>
      <w:proofErr w:type="spellStart"/>
      <w:r w:rsidRPr="005B6DAB">
        <w:rPr>
          <w:rFonts w:cs="Arial"/>
          <w:sz w:val="16"/>
          <w:szCs w:val="16"/>
          <w:lang w:val="cs-CZ"/>
        </w:rPr>
        <w:t>Authority</w:t>
      </w:r>
      <w:proofErr w:type="spellEnd"/>
      <w:r w:rsidRPr="005B6DAB">
        <w:rPr>
          <w:rFonts w:cs="Arial"/>
          <w:sz w:val="16"/>
          <w:szCs w:val="16"/>
          <w:lang w:val="cs-CZ"/>
        </w:rPr>
        <w:t xml:space="preserve"> (CMA) a </w:t>
      </w:r>
      <w:proofErr w:type="spellStart"/>
      <w:r w:rsidRPr="005B6DAB">
        <w:rPr>
          <w:rFonts w:cs="Arial"/>
          <w:sz w:val="16"/>
          <w:szCs w:val="16"/>
          <w:lang w:val="cs-CZ"/>
        </w:rPr>
        <w:t>Financial</w:t>
      </w:r>
      <w:proofErr w:type="spellEnd"/>
      <w:r w:rsidRPr="005B6DAB">
        <w:rPr>
          <w:rFonts w:cs="Arial"/>
          <w:sz w:val="16"/>
          <w:szCs w:val="16"/>
          <w:lang w:val="cs-CZ"/>
        </w:rPr>
        <w:t xml:space="preserve"> </w:t>
      </w:r>
      <w:proofErr w:type="spellStart"/>
      <w:r w:rsidRPr="005B6DAB">
        <w:rPr>
          <w:rFonts w:cs="Arial"/>
          <w:sz w:val="16"/>
          <w:szCs w:val="16"/>
          <w:lang w:val="cs-CZ"/>
        </w:rPr>
        <w:t>Conduct</w:t>
      </w:r>
      <w:proofErr w:type="spellEnd"/>
      <w:r w:rsidRPr="005B6DAB">
        <w:rPr>
          <w:rFonts w:cs="Arial"/>
          <w:sz w:val="16"/>
          <w:szCs w:val="16"/>
          <w:lang w:val="cs-CZ"/>
        </w:rPr>
        <w:t xml:space="preserve"> </w:t>
      </w:r>
      <w:proofErr w:type="spellStart"/>
      <w:r w:rsidRPr="005B6DAB">
        <w:rPr>
          <w:rFonts w:cs="Arial"/>
          <w:sz w:val="16"/>
          <w:szCs w:val="16"/>
          <w:lang w:val="cs-CZ"/>
        </w:rPr>
        <w:t>Authority</w:t>
      </w:r>
      <w:proofErr w:type="spellEnd"/>
      <w:r w:rsidRPr="005B6DAB">
        <w:rPr>
          <w:rFonts w:cs="Arial"/>
          <w:sz w:val="16"/>
          <w:szCs w:val="16"/>
          <w:lang w:val="cs-CZ"/>
        </w:rPr>
        <w:t xml:space="preserve">. Dostupné z: </w:t>
      </w:r>
      <w:r w:rsidRPr="005B32A3">
        <w:rPr>
          <w:rFonts w:cs="Arial"/>
          <w:sz w:val="16"/>
          <w:szCs w:val="16"/>
          <w:lang w:val="cs-CZ"/>
        </w:rPr>
        <w:t>https://www.gov.uk/government/organisations/office-of-fair-trading</w:t>
      </w:r>
      <w:r>
        <w:rPr>
          <w:rFonts w:cs="Arial"/>
          <w:sz w:val="16"/>
          <w:szCs w:val="16"/>
          <w:lang w:val="cs-CZ"/>
        </w:rPr>
        <w:t>.</w:t>
      </w:r>
    </w:p>
  </w:footnote>
  <w:footnote w:id="109">
    <w:p w14:paraId="33536D68" w14:textId="77777777" w:rsidR="00273E54" w:rsidRPr="005B6DAB" w:rsidRDefault="00273E54" w:rsidP="00A1360F">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rPr>
        <w:t xml:space="preserve">Scrutiny for Vodafone and </w:t>
      </w:r>
      <w:proofErr w:type="spellStart"/>
      <w:r w:rsidRPr="005B6DAB">
        <w:rPr>
          <w:rFonts w:cs="Arial"/>
          <w:sz w:val="16"/>
          <w:szCs w:val="16"/>
        </w:rPr>
        <w:t>Telefónica</w:t>
      </w:r>
      <w:proofErr w:type="spellEnd"/>
      <w:r w:rsidRPr="005B6DAB">
        <w:rPr>
          <w:rFonts w:cs="Arial"/>
          <w:sz w:val="16"/>
          <w:szCs w:val="16"/>
        </w:rPr>
        <w:t xml:space="preserve"> deal. </w:t>
      </w:r>
      <w:r w:rsidRPr="005B6DAB">
        <w:rPr>
          <w:rFonts w:cs="Arial"/>
          <w:sz w:val="16"/>
          <w:szCs w:val="16"/>
          <w:lang w:val="fr-FR"/>
        </w:rPr>
        <w:t xml:space="preserve">Dostupný z:  </w:t>
      </w:r>
      <w:r w:rsidRPr="005B32A3">
        <w:rPr>
          <w:rFonts w:cs="Arial"/>
          <w:sz w:val="16"/>
          <w:szCs w:val="16"/>
          <w:lang w:val="fr-FR"/>
        </w:rPr>
        <w:t>http://www.ft.com/intl/cms/s/0/93a1bb98-e175-11e1-9c72-00144feab49a.html#axzz3UXGbAIim</w:t>
      </w:r>
      <w:r w:rsidRPr="00E53C80">
        <w:rPr>
          <w:rFonts w:cs="Arial"/>
          <w:sz w:val="16"/>
          <w:szCs w:val="16"/>
          <w:lang w:val="fr-FR"/>
        </w:rPr>
        <w:t>.</w:t>
      </w:r>
      <w:r w:rsidRPr="005B6DAB">
        <w:rPr>
          <w:rFonts w:cs="Arial"/>
          <w:sz w:val="16"/>
          <w:szCs w:val="16"/>
          <w:lang w:val="fr-FR"/>
        </w:rPr>
        <w:t xml:space="preserve"> </w:t>
      </w:r>
    </w:p>
  </w:footnote>
  <w:footnote w:id="110">
    <w:p w14:paraId="22990F71" w14:textId="77777777" w:rsidR="00273E54" w:rsidRPr="005B6DAB" w:rsidRDefault="00273E54" w:rsidP="00A1360F">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rPr>
        <w:t xml:space="preserve"> </w:t>
      </w:r>
      <w:r w:rsidRPr="005B32A3">
        <w:rPr>
          <w:rFonts w:cs="Arial"/>
          <w:sz w:val="16"/>
          <w:szCs w:val="16"/>
        </w:rPr>
        <w:t>https://technology.ihs.com/413365/</w:t>
      </w:r>
    </w:p>
  </w:footnote>
  <w:footnote w:id="111">
    <w:p w14:paraId="64F221AA"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rPr>
        <w:t xml:space="preserve"> </w:t>
      </w:r>
      <w:proofErr w:type="spellStart"/>
      <w:r w:rsidRPr="005B6DAB">
        <w:rPr>
          <w:rFonts w:cs="Arial"/>
          <w:sz w:val="16"/>
          <w:szCs w:val="16"/>
          <w:lang w:val="cs-CZ"/>
        </w:rPr>
        <w:t>Site</w:t>
      </w:r>
      <w:proofErr w:type="spellEnd"/>
      <w:r w:rsidRPr="005B6DAB">
        <w:rPr>
          <w:rFonts w:cs="Arial"/>
          <w:sz w:val="16"/>
          <w:szCs w:val="16"/>
          <w:lang w:val="cs-CZ"/>
        </w:rPr>
        <w:t xml:space="preserve"> </w:t>
      </w:r>
      <w:proofErr w:type="spellStart"/>
      <w:r w:rsidRPr="005B6DAB">
        <w:rPr>
          <w:rFonts w:cs="Arial"/>
          <w:sz w:val="16"/>
          <w:szCs w:val="16"/>
          <w:lang w:val="cs-CZ"/>
        </w:rPr>
        <w:t>Sharing</w:t>
      </w:r>
      <w:proofErr w:type="spellEnd"/>
      <w:r w:rsidRPr="005B6DAB">
        <w:rPr>
          <w:rFonts w:cs="Arial"/>
          <w:sz w:val="16"/>
          <w:szCs w:val="16"/>
          <w:lang w:val="cs-CZ"/>
        </w:rPr>
        <w:t xml:space="preserve">. Dostupné z: </w:t>
      </w:r>
      <w:r w:rsidRPr="005B32A3">
        <w:rPr>
          <w:rFonts w:cs="Arial"/>
          <w:sz w:val="16"/>
          <w:szCs w:val="16"/>
          <w:lang w:val="cs-CZ"/>
        </w:rPr>
        <w:t>http://licensing.ofcom.org.uk/radiocommunication-licences/mobile-wireless-broadband/cellular-wireless-broadband/policy-and-background/site-sharing/</w:t>
      </w:r>
      <w:r w:rsidRPr="00843D00">
        <w:rPr>
          <w:rFonts w:cs="Arial"/>
          <w:sz w:val="16"/>
          <w:szCs w:val="16"/>
          <w:lang w:val="fr-FR"/>
        </w:rPr>
        <w:t>.</w:t>
      </w:r>
      <w:r w:rsidRPr="005B6DAB">
        <w:rPr>
          <w:rFonts w:cs="Arial"/>
          <w:sz w:val="16"/>
          <w:szCs w:val="16"/>
          <w:lang w:val="cs-CZ"/>
        </w:rPr>
        <w:t xml:space="preserve"> </w:t>
      </w:r>
    </w:p>
  </w:footnote>
  <w:footnote w:id="112">
    <w:p w14:paraId="380258C4"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32A3">
        <w:rPr>
          <w:rFonts w:cs="Arial"/>
          <w:sz w:val="16"/>
          <w:szCs w:val="16"/>
          <w:lang w:val="cs-CZ"/>
        </w:rPr>
        <w:t>http://licensing.ofcom.org.uk/radiocommunication-licences/mobile-wireless-broadband/cellular-wireless-broadband/policy-and-background/electronic-communications-code/</w:t>
      </w:r>
    </w:p>
  </w:footnote>
  <w:footnote w:id="113">
    <w:p w14:paraId="4D142128"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32A3">
        <w:rPr>
          <w:rFonts w:cs="Arial"/>
          <w:sz w:val="16"/>
          <w:szCs w:val="16"/>
          <w:lang w:val="cs-CZ"/>
        </w:rPr>
        <w:t>http://licensing.ofcom.org.uk/radiocommunication-licences/mobile-wireless-broadband/cellular-wireless-broadband/policy-and-background/site-sharing/</w:t>
      </w:r>
    </w:p>
  </w:footnote>
  <w:footnote w:id="114">
    <w:p w14:paraId="1848E016"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lang w:val="cs-CZ"/>
        </w:rPr>
        <w:t xml:space="preserve"> Communications </w:t>
      </w:r>
      <w:proofErr w:type="spellStart"/>
      <w:r w:rsidRPr="005B6DAB">
        <w:rPr>
          <w:rFonts w:cs="Arial"/>
          <w:sz w:val="16"/>
          <w:szCs w:val="16"/>
          <w:lang w:val="cs-CZ"/>
        </w:rPr>
        <w:t>Act</w:t>
      </w:r>
      <w:proofErr w:type="spellEnd"/>
      <w:r w:rsidRPr="005B6DAB">
        <w:rPr>
          <w:rFonts w:cs="Arial"/>
          <w:sz w:val="16"/>
          <w:szCs w:val="16"/>
          <w:lang w:val="cs-CZ"/>
        </w:rPr>
        <w:t xml:space="preserve"> 2003.</w:t>
      </w:r>
    </w:p>
  </w:footnote>
  <w:footnote w:id="115">
    <w:p w14:paraId="3EC97CB1"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lang w:val="cs-CZ"/>
        </w:rPr>
        <w:t xml:space="preserve"> </w:t>
      </w:r>
      <w:proofErr w:type="spellStart"/>
      <w:r w:rsidRPr="005B6DAB">
        <w:rPr>
          <w:rFonts w:cs="Arial"/>
          <w:sz w:val="16"/>
          <w:szCs w:val="16"/>
          <w:lang w:val="cs-CZ"/>
        </w:rPr>
        <w:t>Enterprise</w:t>
      </w:r>
      <w:proofErr w:type="spellEnd"/>
      <w:r w:rsidRPr="005B6DAB">
        <w:rPr>
          <w:rFonts w:cs="Arial"/>
          <w:sz w:val="16"/>
          <w:szCs w:val="16"/>
          <w:lang w:val="cs-CZ"/>
        </w:rPr>
        <w:t xml:space="preserve"> </w:t>
      </w:r>
      <w:proofErr w:type="spellStart"/>
      <w:r w:rsidRPr="005B6DAB">
        <w:rPr>
          <w:rFonts w:cs="Arial"/>
          <w:sz w:val="16"/>
          <w:szCs w:val="16"/>
          <w:lang w:val="cs-CZ"/>
        </w:rPr>
        <w:t>Act</w:t>
      </w:r>
      <w:proofErr w:type="spellEnd"/>
      <w:r w:rsidRPr="005B6DAB">
        <w:rPr>
          <w:rFonts w:cs="Arial"/>
          <w:sz w:val="16"/>
          <w:szCs w:val="16"/>
          <w:lang w:val="cs-CZ"/>
        </w:rPr>
        <w:t xml:space="preserve"> 2002.</w:t>
      </w:r>
    </w:p>
  </w:footnote>
  <w:footnote w:id="116">
    <w:p w14:paraId="52C15DD4"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lang w:val="cs-CZ"/>
        </w:rPr>
        <w:t xml:space="preserve"> OFCOM sice nemá sdílenou pravomoc ve vztahu k posuzování spojení podniků, avšak plní poradní funkci pro OFT při vyhodnocování spojení v komunikačním sektoru.  Dle: </w:t>
      </w:r>
      <w:r w:rsidRPr="005B32A3">
        <w:rPr>
          <w:rFonts w:cs="Arial"/>
          <w:sz w:val="16"/>
          <w:szCs w:val="16"/>
          <w:lang w:val="cs-CZ"/>
        </w:rPr>
        <w:t>http://www.parliament.uk/documents/upload/ofcom-supplementary.pdf</w:t>
      </w:r>
      <w:r w:rsidRPr="005B6DAB">
        <w:rPr>
          <w:rFonts w:cs="Arial"/>
          <w:sz w:val="16"/>
          <w:szCs w:val="16"/>
        </w:rPr>
        <w:t>.</w:t>
      </w:r>
      <w:r w:rsidRPr="005B6DAB">
        <w:rPr>
          <w:rFonts w:cs="Arial"/>
          <w:sz w:val="16"/>
          <w:szCs w:val="16"/>
          <w:lang w:val="cs-CZ"/>
        </w:rPr>
        <w:t xml:space="preserve"> </w:t>
      </w:r>
    </w:p>
  </w:footnote>
  <w:footnote w:id="117">
    <w:p w14:paraId="5F396B73"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lang w:val="cs-CZ"/>
        </w:rPr>
        <w:t xml:space="preserve"> Shrnutí informací v angličtině je dostupné zde: </w:t>
      </w:r>
      <w:r w:rsidRPr="005B32A3">
        <w:rPr>
          <w:rFonts w:cs="Arial"/>
          <w:sz w:val="16"/>
          <w:szCs w:val="16"/>
          <w:lang w:val="cs-CZ"/>
        </w:rPr>
        <w:t>http://en.kfst.dk/Indhold-KFST/English/Decisions/20120229-Radio-Access-Network-sharing-agreement-between-Telia-Denmark-and-Telenor?tc=E54958826ADF4DA190FADFA134162E12</w:t>
      </w:r>
      <w:r>
        <w:rPr>
          <w:rFonts w:cs="Arial"/>
          <w:sz w:val="16"/>
          <w:szCs w:val="16"/>
          <w:lang w:val="cs-CZ"/>
        </w:rPr>
        <w:t>.</w:t>
      </w:r>
    </w:p>
  </w:footnote>
  <w:footnote w:id="118">
    <w:p w14:paraId="38DC0806"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lang w:val="cs-CZ"/>
        </w:rPr>
        <w:t xml:space="preserve"> Bod 438 rozhodnutí dánského Úřadu pro hospodářskou soutěž a ochranu spotřebitele ze dne 29. 2. 2012, v dánštině v plném znění dostupné zde: </w:t>
      </w:r>
      <w:r w:rsidRPr="005B32A3">
        <w:rPr>
          <w:rFonts w:cs="Arial"/>
          <w:sz w:val="16"/>
          <w:szCs w:val="16"/>
          <w:lang w:val="cs-CZ"/>
        </w:rPr>
        <w:t>http://www.kfst.dk/~/media/Afgoerelsesdatabase/Konkurrenceomraadet/Afgoerelser/2012/20120229%20%20Afgoerelse%20%20Anmeldelse%20af%20netdelingssamarbejde%20mellem%20Telia%20og%20Telenor.pdf</w:t>
      </w:r>
      <w:r>
        <w:rPr>
          <w:rFonts w:cs="Arial"/>
          <w:sz w:val="16"/>
          <w:szCs w:val="16"/>
          <w:lang w:val="cs-CZ"/>
        </w:rPr>
        <w:t>.</w:t>
      </w:r>
    </w:p>
  </w:footnote>
  <w:footnote w:id="119">
    <w:p w14:paraId="6C2CA193" w14:textId="34F32374" w:rsidR="00273E54" w:rsidRPr="00B57922"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rPr>
        <w:footnoteRef/>
      </w:r>
      <w:r w:rsidRPr="00B57922">
        <w:rPr>
          <w:rFonts w:cs="Arial"/>
          <w:sz w:val="16"/>
          <w:szCs w:val="16"/>
          <w:lang w:val="cs-CZ"/>
        </w:rPr>
        <w:t xml:space="preserve"> </w:t>
      </w:r>
      <w:r>
        <w:rPr>
          <w:rFonts w:cs="Arial"/>
          <w:sz w:val="16"/>
          <w:szCs w:val="16"/>
          <w:lang w:val="cs-CZ"/>
        </w:rPr>
        <w:t>R</w:t>
      </w:r>
      <w:r w:rsidRPr="00B57922">
        <w:rPr>
          <w:rFonts w:cs="Arial"/>
          <w:sz w:val="16"/>
          <w:szCs w:val="16"/>
          <w:lang w:val="cs-CZ"/>
        </w:rPr>
        <w:t xml:space="preserve">ozhodnutí </w:t>
      </w:r>
      <w:r>
        <w:rPr>
          <w:rFonts w:cs="Arial"/>
          <w:sz w:val="16"/>
          <w:szCs w:val="16"/>
          <w:lang w:val="cs-CZ"/>
        </w:rPr>
        <w:t xml:space="preserve">Komise </w:t>
      </w:r>
      <w:r w:rsidRPr="00B57922">
        <w:rPr>
          <w:rFonts w:cs="Arial"/>
          <w:sz w:val="16"/>
          <w:szCs w:val="16"/>
          <w:lang w:val="cs-CZ"/>
        </w:rPr>
        <w:t xml:space="preserve">ze dne 16. 7. 2003, ve věci COMP/38.369: T-Mobile </w:t>
      </w:r>
      <w:proofErr w:type="spellStart"/>
      <w:r w:rsidRPr="00B57922">
        <w:rPr>
          <w:rFonts w:cs="Arial"/>
          <w:sz w:val="16"/>
          <w:szCs w:val="16"/>
          <w:lang w:val="cs-CZ"/>
        </w:rPr>
        <w:t>Deutschland</w:t>
      </w:r>
      <w:proofErr w:type="spellEnd"/>
      <w:r w:rsidRPr="00B57922">
        <w:rPr>
          <w:rFonts w:cs="Arial"/>
          <w:sz w:val="16"/>
          <w:szCs w:val="16"/>
          <w:lang w:val="cs-CZ"/>
        </w:rPr>
        <w:t xml:space="preserve">/O2 </w:t>
      </w:r>
      <w:proofErr w:type="spellStart"/>
      <w:r w:rsidRPr="00B57922">
        <w:rPr>
          <w:rFonts w:cs="Arial"/>
          <w:sz w:val="16"/>
          <w:szCs w:val="16"/>
          <w:lang w:val="cs-CZ"/>
        </w:rPr>
        <w:t>Germany</w:t>
      </w:r>
      <w:proofErr w:type="spellEnd"/>
      <w:r>
        <w:rPr>
          <w:rFonts w:cs="Arial"/>
          <w:sz w:val="16"/>
          <w:szCs w:val="16"/>
          <w:lang w:val="cs-CZ"/>
        </w:rPr>
        <w:t xml:space="preserve">: Network </w:t>
      </w:r>
      <w:proofErr w:type="spellStart"/>
      <w:r>
        <w:rPr>
          <w:rFonts w:cs="Arial"/>
          <w:sz w:val="16"/>
          <w:szCs w:val="16"/>
          <w:lang w:val="cs-CZ"/>
        </w:rPr>
        <w:t>Sharing</w:t>
      </w:r>
      <w:proofErr w:type="spellEnd"/>
      <w:r>
        <w:rPr>
          <w:rFonts w:cs="Arial"/>
          <w:sz w:val="16"/>
          <w:szCs w:val="16"/>
          <w:lang w:val="cs-CZ"/>
        </w:rPr>
        <w:t xml:space="preserve"> </w:t>
      </w:r>
      <w:proofErr w:type="spellStart"/>
      <w:r>
        <w:rPr>
          <w:rFonts w:cs="Arial"/>
          <w:sz w:val="16"/>
          <w:szCs w:val="16"/>
          <w:lang w:val="cs-CZ"/>
        </w:rPr>
        <w:t>Rahmenvertrag</w:t>
      </w:r>
      <w:proofErr w:type="spellEnd"/>
      <w:r>
        <w:rPr>
          <w:rFonts w:cs="Arial"/>
          <w:sz w:val="16"/>
          <w:szCs w:val="16"/>
          <w:lang w:val="cs-CZ"/>
        </w:rPr>
        <w:t>, čl. 108.</w:t>
      </w:r>
      <w:r w:rsidRPr="00B57922">
        <w:rPr>
          <w:rFonts w:cs="Arial"/>
          <w:sz w:val="16"/>
          <w:szCs w:val="16"/>
          <w:lang w:val="cs-CZ"/>
        </w:rPr>
        <w:t xml:space="preserve"> Podrobnější informace v kapitole 2.1 v </w:t>
      </w:r>
      <w:proofErr w:type="spellStart"/>
      <w:r w:rsidRPr="00B57922">
        <w:rPr>
          <w:rFonts w:cs="Arial"/>
          <w:sz w:val="16"/>
          <w:szCs w:val="16"/>
          <w:lang w:val="cs-CZ"/>
        </w:rPr>
        <w:t>benchmark</w:t>
      </w:r>
      <w:proofErr w:type="spellEnd"/>
      <w:r w:rsidRPr="00B57922">
        <w:rPr>
          <w:rFonts w:cs="Arial"/>
          <w:sz w:val="16"/>
          <w:szCs w:val="16"/>
          <w:lang w:val="cs-CZ"/>
        </w:rPr>
        <w:t xml:space="preserve"> tabulce</w:t>
      </w:r>
      <w:r>
        <w:rPr>
          <w:rFonts w:cs="Arial"/>
          <w:sz w:val="16"/>
          <w:szCs w:val="16"/>
          <w:lang w:val="cs-CZ"/>
        </w:rPr>
        <w:t>.</w:t>
      </w:r>
    </w:p>
  </w:footnote>
  <w:footnote w:id="120">
    <w:p w14:paraId="073F649D" w14:textId="77777777" w:rsidR="00273E54" w:rsidRPr="005B6DAB" w:rsidRDefault="00273E54" w:rsidP="00A163E1">
      <w:pPr>
        <w:pStyle w:val="Textpoznpodarou"/>
        <w:spacing w:before="0" w:after="0" w:line="276" w:lineRule="auto"/>
        <w:jc w:val="left"/>
        <w:rPr>
          <w:rFonts w:cs="Arial"/>
          <w:sz w:val="16"/>
          <w:szCs w:val="16"/>
        </w:rPr>
      </w:pPr>
      <w:r w:rsidRPr="005B6DAB">
        <w:rPr>
          <w:rStyle w:val="Znakapoznpodarou"/>
          <w:rFonts w:cs="Arial"/>
          <w:sz w:val="16"/>
          <w:szCs w:val="16"/>
        </w:rPr>
        <w:footnoteRef/>
      </w:r>
      <w:r w:rsidRPr="005B6DAB">
        <w:rPr>
          <w:rFonts w:cs="Arial"/>
          <w:sz w:val="16"/>
          <w:szCs w:val="16"/>
        </w:rPr>
        <w:t xml:space="preserve"> Shared use of wireless infrastructures and spectrum resources, 2010. (</w:t>
      </w:r>
      <w:r w:rsidRPr="005B32A3">
        <w:rPr>
          <w:rFonts w:cs="Arial"/>
          <w:sz w:val="16"/>
          <w:szCs w:val="16"/>
        </w:rPr>
        <w:t>http://www.bundesnetzagentur.de/SharedDocs/Downloads/EN/BNetzA/Areas/Telecommunications/TelecomRegulation/FrequencyManagement/InfrastructureSharing/InfrastructureSharingThesispaperpdf.pdf?__blob=publicationFile&amp;v=2</w:t>
      </w:r>
      <w:r w:rsidRPr="005B6DAB">
        <w:rPr>
          <w:rFonts w:cs="Arial"/>
          <w:sz w:val="16"/>
          <w:szCs w:val="16"/>
        </w:rPr>
        <w:t xml:space="preserve">) </w:t>
      </w:r>
    </w:p>
  </w:footnote>
  <w:footnote w:id="121">
    <w:p w14:paraId="26039734" w14:textId="77777777" w:rsidR="00273E54" w:rsidRPr="005B6DAB" w:rsidRDefault="00273E54" w:rsidP="00A163E1">
      <w:pPr>
        <w:pStyle w:val="Textpoznpodarou"/>
        <w:spacing w:before="0" w:after="0" w:line="276" w:lineRule="auto"/>
        <w:jc w:val="left"/>
        <w:rPr>
          <w:rFonts w:cs="Arial"/>
          <w:sz w:val="16"/>
          <w:szCs w:val="16"/>
        </w:rPr>
      </w:pPr>
      <w:r w:rsidRPr="005B6DAB">
        <w:rPr>
          <w:rStyle w:val="Znakapoznpodarou"/>
          <w:rFonts w:cs="Arial"/>
          <w:sz w:val="16"/>
          <w:szCs w:val="16"/>
        </w:rPr>
        <w:footnoteRef/>
      </w:r>
      <w:r w:rsidRPr="005B6DAB">
        <w:rPr>
          <w:rFonts w:cs="Arial"/>
          <w:sz w:val="16"/>
          <w:szCs w:val="16"/>
        </w:rPr>
        <w:t xml:space="preserve"> The Federal Government’s Broadband Strategy, 2009. (</w:t>
      </w:r>
      <w:r w:rsidRPr="005B32A3">
        <w:rPr>
          <w:rFonts w:cs="Arial"/>
          <w:sz w:val="16"/>
          <w:szCs w:val="16"/>
        </w:rPr>
        <w:t>http://www.bmwi.de/English/Redaktion/Pdf/broadband-strategy,property=pdf,bereich=bmwi,sprache=en,rwb=true.pdf</w:t>
      </w:r>
      <w:r w:rsidRPr="005B6DAB">
        <w:rPr>
          <w:rFonts w:cs="Arial"/>
          <w:sz w:val="16"/>
          <w:szCs w:val="16"/>
        </w:rPr>
        <w:t xml:space="preserve">) </w:t>
      </w:r>
    </w:p>
  </w:footnote>
  <w:footnote w:id="122">
    <w:p w14:paraId="08A8C482"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lang w:val="cs-CZ"/>
        </w:rPr>
        <w:footnoteRef/>
      </w:r>
      <w:r w:rsidRPr="005B6DAB">
        <w:rPr>
          <w:rFonts w:cs="Arial"/>
          <w:sz w:val="16"/>
          <w:szCs w:val="16"/>
          <w:lang w:val="cs-CZ"/>
        </w:rPr>
        <w:t xml:space="preserve"> OECD (2014), “</w:t>
      </w:r>
      <w:proofErr w:type="spellStart"/>
      <w:r w:rsidRPr="005B6DAB">
        <w:rPr>
          <w:rFonts w:cs="Arial"/>
          <w:sz w:val="16"/>
          <w:szCs w:val="16"/>
          <w:lang w:val="cs-CZ"/>
        </w:rPr>
        <w:t>Wireless</w:t>
      </w:r>
      <w:proofErr w:type="spellEnd"/>
      <w:r w:rsidRPr="005B6DAB">
        <w:rPr>
          <w:rFonts w:cs="Arial"/>
          <w:sz w:val="16"/>
          <w:szCs w:val="16"/>
          <w:lang w:val="cs-CZ"/>
        </w:rPr>
        <w:t xml:space="preserve"> Market </w:t>
      </w:r>
      <w:proofErr w:type="spellStart"/>
      <w:r w:rsidRPr="005B6DAB">
        <w:rPr>
          <w:rFonts w:cs="Arial"/>
          <w:sz w:val="16"/>
          <w:szCs w:val="16"/>
          <w:lang w:val="cs-CZ"/>
        </w:rPr>
        <w:t>Structures</w:t>
      </w:r>
      <w:proofErr w:type="spellEnd"/>
      <w:r w:rsidRPr="005B6DAB">
        <w:rPr>
          <w:rFonts w:cs="Arial"/>
          <w:sz w:val="16"/>
          <w:szCs w:val="16"/>
          <w:lang w:val="cs-CZ"/>
        </w:rPr>
        <w:t xml:space="preserve"> and Network </w:t>
      </w:r>
      <w:proofErr w:type="spellStart"/>
      <w:r w:rsidRPr="005B6DAB">
        <w:rPr>
          <w:rFonts w:cs="Arial"/>
          <w:sz w:val="16"/>
          <w:szCs w:val="16"/>
          <w:lang w:val="cs-CZ"/>
        </w:rPr>
        <w:t>Sharing</w:t>
      </w:r>
      <w:proofErr w:type="spellEnd"/>
      <w:r w:rsidRPr="005B6DAB">
        <w:rPr>
          <w:rFonts w:cs="Arial"/>
          <w:sz w:val="16"/>
          <w:szCs w:val="16"/>
          <w:lang w:val="cs-CZ"/>
        </w:rPr>
        <w:t xml:space="preserve">”, OECD Digital </w:t>
      </w:r>
      <w:proofErr w:type="spellStart"/>
      <w:r w:rsidRPr="005B6DAB">
        <w:rPr>
          <w:rFonts w:cs="Arial"/>
          <w:sz w:val="16"/>
          <w:szCs w:val="16"/>
          <w:lang w:val="cs-CZ"/>
        </w:rPr>
        <w:t>Economy</w:t>
      </w:r>
      <w:proofErr w:type="spellEnd"/>
      <w:r w:rsidRPr="005B6DAB">
        <w:rPr>
          <w:rFonts w:cs="Arial"/>
          <w:sz w:val="16"/>
          <w:szCs w:val="16"/>
          <w:lang w:val="cs-CZ"/>
        </w:rPr>
        <w:t xml:space="preserve"> </w:t>
      </w:r>
      <w:proofErr w:type="spellStart"/>
      <w:r w:rsidRPr="005B6DAB">
        <w:rPr>
          <w:rFonts w:cs="Arial"/>
          <w:sz w:val="16"/>
          <w:szCs w:val="16"/>
          <w:lang w:val="cs-CZ"/>
        </w:rPr>
        <w:t>Papers</w:t>
      </w:r>
      <w:proofErr w:type="spellEnd"/>
      <w:r w:rsidRPr="005B6DAB">
        <w:rPr>
          <w:rFonts w:cs="Arial"/>
          <w:sz w:val="16"/>
          <w:szCs w:val="16"/>
          <w:lang w:val="cs-CZ"/>
        </w:rPr>
        <w:t xml:space="preserve">, No. 243, OECD </w:t>
      </w:r>
      <w:proofErr w:type="spellStart"/>
      <w:r w:rsidRPr="005B6DAB">
        <w:rPr>
          <w:rFonts w:cs="Arial"/>
          <w:sz w:val="16"/>
          <w:szCs w:val="16"/>
          <w:lang w:val="cs-CZ"/>
        </w:rPr>
        <w:t>Publishing</w:t>
      </w:r>
      <w:proofErr w:type="spellEnd"/>
      <w:r w:rsidRPr="005B6DAB">
        <w:rPr>
          <w:rFonts w:cs="Arial"/>
          <w:sz w:val="16"/>
          <w:szCs w:val="16"/>
          <w:lang w:val="cs-CZ"/>
        </w:rPr>
        <w:t xml:space="preserve">. </w:t>
      </w:r>
      <w:r w:rsidRPr="00F46F24">
        <w:rPr>
          <w:rFonts w:cs="Arial"/>
          <w:sz w:val="16"/>
          <w:szCs w:val="16"/>
          <w:lang w:val="cs-CZ"/>
        </w:rPr>
        <w:t>http://dx.doi.org/10.1787/5jxt46dzl9r2-en</w:t>
      </w:r>
      <w:r>
        <w:rPr>
          <w:rFonts w:cs="Arial"/>
          <w:sz w:val="16"/>
          <w:szCs w:val="16"/>
          <w:lang w:val="cs-CZ"/>
        </w:rPr>
        <w:t>.</w:t>
      </w:r>
    </w:p>
  </w:footnote>
  <w:footnote w:id="123">
    <w:p w14:paraId="4D8756F0"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lang w:val="cs-CZ"/>
        </w:rPr>
        <w:footnoteRef/>
      </w:r>
      <w:r w:rsidRPr="005B6DAB">
        <w:rPr>
          <w:rFonts w:cs="Arial"/>
          <w:sz w:val="16"/>
          <w:szCs w:val="16"/>
          <w:lang w:val="cs-CZ"/>
        </w:rPr>
        <w:t xml:space="preserve"> “</w:t>
      </w:r>
      <w:r w:rsidRPr="005B6DAB">
        <w:rPr>
          <w:rFonts w:cs="Arial"/>
          <w:i/>
          <w:sz w:val="16"/>
          <w:szCs w:val="16"/>
          <w:lang w:val="cs-CZ"/>
        </w:rPr>
        <w:t xml:space="preserve">A </w:t>
      </w:r>
      <w:proofErr w:type="spellStart"/>
      <w:r w:rsidRPr="005B6DAB">
        <w:rPr>
          <w:rFonts w:cs="Arial"/>
          <w:i/>
          <w:sz w:val="16"/>
          <w:szCs w:val="16"/>
          <w:lang w:val="cs-CZ"/>
        </w:rPr>
        <w:t>particular</w:t>
      </w:r>
      <w:proofErr w:type="spellEnd"/>
      <w:r w:rsidRPr="005B6DAB">
        <w:rPr>
          <w:rFonts w:cs="Arial"/>
          <w:i/>
          <w:sz w:val="16"/>
          <w:szCs w:val="16"/>
          <w:lang w:val="cs-CZ"/>
        </w:rPr>
        <w:t xml:space="preserve"> </w:t>
      </w:r>
      <w:proofErr w:type="spellStart"/>
      <w:r w:rsidRPr="005B6DAB">
        <w:rPr>
          <w:rFonts w:cs="Arial"/>
          <w:i/>
          <w:sz w:val="16"/>
          <w:szCs w:val="16"/>
          <w:lang w:val="cs-CZ"/>
        </w:rPr>
        <w:t>problem</w:t>
      </w:r>
      <w:proofErr w:type="spellEnd"/>
      <w:r w:rsidRPr="005B6DAB">
        <w:rPr>
          <w:rFonts w:cs="Arial"/>
          <w:i/>
          <w:sz w:val="16"/>
          <w:szCs w:val="16"/>
          <w:lang w:val="cs-CZ"/>
        </w:rPr>
        <w:t xml:space="preserve">, </w:t>
      </w:r>
      <w:proofErr w:type="spellStart"/>
      <w:r w:rsidRPr="005B6DAB">
        <w:rPr>
          <w:rFonts w:cs="Arial"/>
          <w:i/>
          <w:sz w:val="16"/>
          <w:szCs w:val="16"/>
          <w:lang w:val="cs-CZ"/>
        </w:rPr>
        <w:t>however</w:t>
      </w:r>
      <w:proofErr w:type="spellEnd"/>
      <w:r w:rsidRPr="005B6DAB">
        <w:rPr>
          <w:rFonts w:cs="Arial"/>
          <w:i/>
          <w:sz w:val="16"/>
          <w:szCs w:val="16"/>
          <w:lang w:val="cs-CZ"/>
        </w:rPr>
        <w:t xml:space="preserve">, </w:t>
      </w:r>
      <w:proofErr w:type="spellStart"/>
      <w:r w:rsidRPr="005B6DAB">
        <w:rPr>
          <w:rFonts w:cs="Arial"/>
          <w:i/>
          <w:sz w:val="16"/>
          <w:szCs w:val="16"/>
          <w:lang w:val="cs-CZ"/>
        </w:rPr>
        <w:t>occurs</w:t>
      </w:r>
      <w:proofErr w:type="spellEnd"/>
      <w:r w:rsidRPr="005B6DAB">
        <w:rPr>
          <w:rFonts w:cs="Arial"/>
          <w:i/>
          <w:sz w:val="16"/>
          <w:szCs w:val="16"/>
          <w:lang w:val="cs-CZ"/>
        </w:rPr>
        <w:t xml:space="preserve"> in </w:t>
      </w:r>
      <w:proofErr w:type="spellStart"/>
      <w:r w:rsidRPr="005B6DAB">
        <w:rPr>
          <w:rFonts w:cs="Arial"/>
          <w:i/>
          <w:sz w:val="16"/>
          <w:szCs w:val="16"/>
          <w:lang w:val="cs-CZ"/>
        </w:rPr>
        <w:t>three-player</w:t>
      </w:r>
      <w:proofErr w:type="spellEnd"/>
      <w:r w:rsidRPr="005B6DAB">
        <w:rPr>
          <w:rFonts w:cs="Arial"/>
          <w:i/>
          <w:sz w:val="16"/>
          <w:szCs w:val="16"/>
          <w:lang w:val="cs-CZ"/>
        </w:rPr>
        <w:t xml:space="preserve"> </w:t>
      </w:r>
      <w:proofErr w:type="spellStart"/>
      <w:r w:rsidRPr="005B6DAB">
        <w:rPr>
          <w:rFonts w:cs="Arial"/>
          <w:i/>
          <w:sz w:val="16"/>
          <w:szCs w:val="16"/>
          <w:lang w:val="cs-CZ"/>
        </w:rPr>
        <w:t>markets</w:t>
      </w:r>
      <w:proofErr w:type="spellEnd"/>
      <w:r w:rsidRPr="005B6DAB">
        <w:rPr>
          <w:rFonts w:cs="Arial"/>
          <w:i/>
          <w:sz w:val="16"/>
          <w:szCs w:val="16"/>
          <w:lang w:val="cs-CZ"/>
        </w:rPr>
        <w:t xml:space="preserve">. </w:t>
      </w:r>
      <w:proofErr w:type="spellStart"/>
      <w:r w:rsidRPr="005B6DAB">
        <w:rPr>
          <w:rFonts w:cs="Arial"/>
          <w:i/>
          <w:sz w:val="16"/>
          <w:szCs w:val="16"/>
          <w:lang w:val="cs-CZ"/>
        </w:rPr>
        <w:t>The</w:t>
      </w:r>
      <w:proofErr w:type="spellEnd"/>
      <w:r w:rsidRPr="005B6DAB">
        <w:rPr>
          <w:rFonts w:cs="Arial"/>
          <w:i/>
          <w:sz w:val="16"/>
          <w:szCs w:val="16"/>
          <w:lang w:val="cs-CZ"/>
        </w:rPr>
        <w:t xml:space="preserve"> </w:t>
      </w:r>
      <w:proofErr w:type="spellStart"/>
      <w:r w:rsidRPr="005B6DAB">
        <w:rPr>
          <w:rFonts w:cs="Arial"/>
          <w:i/>
          <w:sz w:val="16"/>
          <w:szCs w:val="16"/>
          <w:lang w:val="cs-CZ"/>
        </w:rPr>
        <w:t>competitive</w:t>
      </w:r>
      <w:proofErr w:type="spellEnd"/>
      <w:r w:rsidRPr="005B6DAB">
        <w:rPr>
          <w:rFonts w:cs="Arial"/>
          <w:i/>
          <w:sz w:val="16"/>
          <w:szCs w:val="16"/>
          <w:lang w:val="cs-CZ"/>
        </w:rPr>
        <w:t xml:space="preserve"> </w:t>
      </w:r>
      <w:proofErr w:type="spellStart"/>
      <w:r w:rsidRPr="005B6DAB">
        <w:rPr>
          <w:rFonts w:cs="Arial"/>
          <w:i/>
          <w:sz w:val="16"/>
          <w:szCs w:val="16"/>
          <w:lang w:val="cs-CZ"/>
        </w:rPr>
        <w:t>conditions</w:t>
      </w:r>
      <w:proofErr w:type="spellEnd"/>
      <w:r w:rsidRPr="005B6DAB">
        <w:rPr>
          <w:rFonts w:cs="Arial"/>
          <w:i/>
          <w:sz w:val="16"/>
          <w:szCs w:val="16"/>
          <w:lang w:val="cs-CZ"/>
        </w:rPr>
        <w:t xml:space="preserve"> in a </w:t>
      </w:r>
      <w:proofErr w:type="spellStart"/>
      <w:r w:rsidRPr="005B6DAB">
        <w:rPr>
          <w:rFonts w:cs="Arial"/>
          <w:i/>
          <w:sz w:val="16"/>
          <w:szCs w:val="16"/>
          <w:lang w:val="cs-CZ"/>
        </w:rPr>
        <w:t>three-player</w:t>
      </w:r>
      <w:proofErr w:type="spellEnd"/>
      <w:r w:rsidRPr="005B6DAB">
        <w:rPr>
          <w:rFonts w:cs="Arial"/>
          <w:i/>
          <w:sz w:val="16"/>
          <w:szCs w:val="16"/>
          <w:lang w:val="cs-CZ"/>
        </w:rPr>
        <w:t xml:space="preserve"> market are </w:t>
      </w:r>
      <w:proofErr w:type="spellStart"/>
      <w:r w:rsidRPr="005B6DAB">
        <w:rPr>
          <w:rFonts w:cs="Arial"/>
          <w:i/>
          <w:sz w:val="16"/>
          <w:szCs w:val="16"/>
          <w:lang w:val="cs-CZ"/>
        </w:rPr>
        <w:t>likely</w:t>
      </w:r>
      <w:proofErr w:type="spellEnd"/>
      <w:r w:rsidRPr="005B6DAB">
        <w:rPr>
          <w:rFonts w:cs="Arial"/>
          <w:i/>
          <w:sz w:val="16"/>
          <w:szCs w:val="16"/>
          <w:lang w:val="cs-CZ"/>
        </w:rPr>
        <w:t xml:space="preserve"> to </w:t>
      </w:r>
      <w:proofErr w:type="spellStart"/>
      <w:r w:rsidRPr="005B6DAB">
        <w:rPr>
          <w:rFonts w:cs="Arial"/>
          <w:i/>
          <w:sz w:val="16"/>
          <w:szCs w:val="16"/>
          <w:lang w:val="cs-CZ"/>
        </w:rPr>
        <w:t>be</w:t>
      </w:r>
      <w:proofErr w:type="spellEnd"/>
      <w:r w:rsidRPr="005B6DAB">
        <w:rPr>
          <w:rFonts w:cs="Arial"/>
          <w:i/>
          <w:sz w:val="16"/>
          <w:szCs w:val="16"/>
          <w:lang w:val="cs-CZ"/>
        </w:rPr>
        <w:t xml:space="preserve"> such </w:t>
      </w:r>
      <w:proofErr w:type="spellStart"/>
      <w:r w:rsidRPr="005B6DAB">
        <w:rPr>
          <w:rFonts w:cs="Arial"/>
          <w:i/>
          <w:sz w:val="16"/>
          <w:szCs w:val="16"/>
          <w:lang w:val="cs-CZ"/>
        </w:rPr>
        <w:t>that</w:t>
      </w:r>
      <w:proofErr w:type="spellEnd"/>
      <w:r w:rsidRPr="005B6DAB">
        <w:rPr>
          <w:rFonts w:cs="Arial"/>
          <w:i/>
          <w:sz w:val="16"/>
          <w:szCs w:val="16"/>
          <w:lang w:val="cs-CZ"/>
        </w:rPr>
        <w:t xml:space="preserve"> </w:t>
      </w:r>
      <w:proofErr w:type="spellStart"/>
      <w:r w:rsidRPr="005B6DAB">
        <w:rPr>
          <w:rFonts w:cs="Arial"/>
          <w:i/>
          <w:sz w:val="16"/>
          <w:szCs w:val="16"/>
          <w:lang w:val="cs-CZ"/>
        </w:rPr>
        <w:t>less</w:t>
      </w:r>
      <w:proofErr w:type="spellEnd"/>
      <w:r w:rsidRPr="005B6DAB">
        <w:rPr>
          <w:rFonts w:cs="Arial"/>
          <w:i/>
          <w:sz w:val="16"/>
          <w:szCs w:val="16"/>
          <w:lang w:val="cs-CZ"/>
        </w:rPr>
        <w:t xml:space="preserve"> </w:t>
      </w:r>
      <w:proofErr w:type="spellStart"/>
      <w:r w:rsidRPr="005B6DAB">
        <w:rPr>
          <w:rFonts w:cs="Arial"/>
          <w:i/>
          <w:sz w:val="16"/>
          <w:szCs w:val="16"/>
          <w:lang w:val="cs-CZ"/>
        </w:rPr>
        <w:t>of</w:t>
      </w:r>
      <w:proofErr w:type="spellEnd"/>
      <w:r w:rsidRPr="005B6DAB">
        <w:rPr>
          <w:rFonts w:cs="Arial"/>
          <w:i/>
          <w:sz w:val="16"/>
          <w:szCs w:val="16"/>
          <w:lang w:val="cs-CZ"/>
        </w:rPr>
        <w:t xml:space="preserve"> </w:t>
      </w:r>
      <w:proofErr w:type="spellStart"/>
      <w:r w:rsidRPr="005B6DAB">
        <w:rPr>
          <w:rFonts w:cs="Arial"/>
          <w:i/>
          <w:sz w:val="16"/>
          <w:szCs w:val="16"/>
          <w:lang w:val="cs-CZ"/>
        </w:rPr>
        <w:t>the</w:t>
      </w:r>
      <w:proofErr w:type="spellEnd"/>
      <w:r w:rsidRPr="005B6DAB">
        <w:rPr>
          <w:rFonts w:cs="Arial"/>
          <w:i/>
          <w:sz w:val="16"/>
          <w:szCs w:val="16"/>
          <w:lang w:val="cs-CZ"/>
        </w:rPr>
        <w:t xml:space="preserve"> </w:t>
      </w:r>
      <w:proofErr w:type="spellStart"/>
      <w:r w:rsidRPr="005B6DAB">
        <w:rPr>
          <w:rFonts w:cs="Arial"/>
          <w:i/>
          <w:sz w:val="16"/>
          <w:szCs w:val="16"/>
          <w:lang w:val="cs-CZ"/>
        </w:rPr>
        <w:t>cost</w:t>
      </w:r>
      <w:proofErr w:type="spellEnd"/>
      <w:r w:rsidRPr="005B6DAB">
        <w:rPr>
          <w:rFonts w:cs="Arial"/>
          <w:i/>
          <w:sz w:val="16"/>
          <w:szCs w:val="16"/>
          <w:lang w:val="cs-CZ"/>
        </w:rPr>
        <w:t xml:space="preserve"> </w:t>
      </w:r>
      <w:proofErr w:type="spellStart"/>
      <w:r w:rsidRPr="005B6DAB">
        <w:rPr>
          <w:rFonts w:cs="Arial"/>
          <w:i/>
          <w:sz w:val="16"/>
          <w:szCs w:val="16"/>
          <w:lang w:val="cs-CZ"/>
        </w:rPr>
        <w:t>savings</w:t>
      </w:r>
      <w:proofErr w:type="spellEnd"/>
      <w:r w:rsidRPr="005B6DAB">
        <w:rPr>
          <w:rFonts w:cs="Arial"/>
          <w:i/>
          <w:sz w:val="16"/>
          <w:szCs w:val="16"/>
          <w:lang w:val="cs-CZ"/>
        </w:rPr>
        <w:t xml:space="preserve"> are </w:t>
      </w:r>
      <w:proofErr w:type="spellStart"/>
      <w:r w:rsidRPr="005B6DAB">
        <w:rPr>
          <w:rFonts w:cs="Arial"/>
          <w:i/>
          <w:sz w:val="16"/>
          <w:szCs w:val="16"/>
          <w:lang w:val="cs-CZ"/>
        </w:rPr>
        <w:t>competed</w:t>
      </w:r>
      <w:proofErr w:type="spellEnd"/>
      <w:r w:rsidRPr="005B6DAB">
        <w:rPr>
          <w:rFonts w:cs="Arial"/>
          <w:i/>
          <w:sz w:val="16"/>
          <w:szCs w:val="16"/>
          <w:lang w:val="cs-CZ"/>
        </w:rPr>
        <w:t xml:space="preserve"> </w:t>
      </w:r>
      <w:proofErr w:type="spellStart"/>
      <w:r w:rsidRPr="005B6DAB">
        <w:rPr>
          <w:rFonts w:cs="Arial"/>
          <w:i/>
          <w:sz w:val="16"/>
          <w:szCs w:val="16"/>
          <w:lang w:val="cs-CZ"/>
        </w:rPr>
        <w:t>away</w:t>
      </w:r>
      <w:proofErr w:type="spellEnd"/>
      <w:r w:rsidRPr="005B6DAB">
        <w:rPr>
          <w:rFonts w:cs="Arial"/>
          <w:i/>
          <w:sz w:val="16"/>
          <w:szCs w:val="16"/>
          <w:lang w:val="cs-CZ"/>
        </w:rPr>
        <w:t xml:space="preserve"> to </w:t>
      </w:r>
      <w:proofErr w:type="spellStart"/>
      <w:r w:rsidRPr="005B6DAB">
        <w:rPr>
          <w:rFonts w:cs="Arial"/>
          <w:i/>
          <w:sz w:val="16"/>
          <w:szCs w:val="16"/>
          <w:lang w:val="cs-CZ"/>
        </w:rPr>
        <w:t>the</w:t>
      </w:r>
      <w:proofErr w:type="spellEnd"/>
      <w:r w:rsidRPr="005B6DAB">
        <w:rPr>
          <w:rFonts w:cs="Arial"/>
          <w:i/>
          <w:sz w:val="16"/>
          <w:szCs w:val="16"/>
          <w:lang w:val="cs-CZ"/>
        </w:rPr>
        <w:t xml:space="preserve"> benefit </w:t>
      </w:r>
      <w:proofErr w:type="spellStart"/>
      <w:r w:rsidRPr="005B6DAB">
        <w:rPr>
          <w:rFonts w:cs="Arial"/>
          <w:i/>
          <w:sz w:val="16"/>
          <w:szCs w:val="16"/>
          <w:lang w:val="cs-CZ"/>
        </w:rPr>
        <w:t>of</w:t>
      </w:r>
      <w:proofErr w:type="spellEnd"/>
      <w:r w:rsidRPr="005B6DAB">
        <w:rPr>
          <w:rFonts w:cs="Arial"/>
          <w:i/>
          <w:sz w:val="16"/>
          <w:szCs w:val="16"/>
          <w:lang w:val="cs-CZ"/>
        </w:rPr>
        <w:t xml:space="preserve"> </w:t>
      </w:r>
      <w:proofErr w:type="spellStart"/>
      <w:r w:rsidRPr="005B6DAB">
        <w:rPr>
          <w:rFonts w:cs="Arial"/>
          <w:i/>
          <w:sz w:val="16"/>
          <w:szCs w:val="16"/>
          <w:lang w:val="cs-CZ"/>
        </w:rPr>
        <w:t>the</w:t>
      </w:r>
      <w:proofErr w:type="spellEnd"/>
      <w:r w:rsidRPr="005B6DAB">
        <w:rPr>
          <w:rFonts w:cs="Arial"/>
          <w:i/>
          <w:sz w:val="16"/>
          <w:szCs w:val="16"/>
          <w:lang w:val="cs-CZ"/>
        </w:rPr>
        <w:t xml:space="preserve"> </w:t>
      </w:r>
      <w:proofErr w:type="spellStart"/>
      <w:r w:rsidRPr="005B6DAB">
        <w:rPr>
          <w:rFonts w:cs="Arial"/>
          <w:i/>
          <w:sz w:val="16"/>
          <w:szCs w:val="16"/>
          <w:lang w:val="cs-CZ"/>
        </w:rPr>
        <w:t>consumer</w:t>
      </w:r>
      <w:proofErr w:type="spellEnd"/>
      <w:r w:rsidRPr="005B6DAB">
        <w:rPr>
          <w:rFonts w:cs="Arial"/>
          <w:i/>
          <w:sz w:val="16"/>
          <w:szCs w:val="16"/>
          <w:lang w:val="cs-CZ"/>
        </w:rPr>
        <w:t xml:space="preserve"> </w:t>
      </w:r>
      <w:proofErr w:type="spellStart"/>
      <w:r w:rsidRPr="005B6DAB">
        <w:rPr>
          <w:rFonts w:cs="Arial"/>
          <w:i/>
          <w:sz w:val="16"/>
          <w:szCs w:val="16"/>
          <w:lang w:val="cs-CZ"/>
        </w:rPr>
        <w:t>than</w:t>
      </w:r>
      <w:proofErr w:type="spellEnd"/>
      <w:r w:rsidRPr="005B6DAB">
        <w:rPr>
          <w:rFonts w:cs="Arial"/>
          <w:i/>
          <w:sz w:val="16"/>
          <w:szCs w:val="16"/>
          <w:lang w:val="cs-CZ"/>
        </w:rPr>
        <w:t xml:space="preserve"> in a market </w:t>
      </w:r>
      <w:proofErr w:type="spellStart"/>
      <w:r w:rsidRPr="005B6DAB">
        <w:rPr>
          <w:rFonts w:cs="Arial"/>
          <w:i/>
          <w:sz w:val="16"/>
          <w:szCs w:val="16"/>
          <w:lang w:val="cs-CZ"/>
        </w:rPr>
        <w:t>with</w:t>
      </w:r>
      <w:proofErr w:type="spellEnd"/>
      <w:r w:rsidRPr="005B6DAB">
        <w:rPr>
          <w:rFonts w:cs="Arial"/>
          <w:i/>
          <w:sz w:val="16"/>
          <w:szCs w:val="16"/>
          <w:lang w:val="cs-CZ"/>
        </w:rPr>
        <w:t xml:space="preserve"> </w:t>
      </w:r>
      <w:proofErr w:type="spellStart"/>
      <w:r w:rsidRPr="005B6DAB">
        <w:rPr>
          <w:rFonts w:cs="Arial"/>
          <w:i/>
          <w:sz w:val="16"/>
          <w:szCs w:val="16"/>
          <w:lang w:val="cs-CZ"/>
        </w:rPr>
        <w:t>four</w:t>
      </w:r>
      <w:proofErr w:type="spellEnd"/>
      <w:r w:rsidRPr="005B6DAB">
        <w:rPr>
          <w:rFonts w:cs="Arial"/>
          <w:i/>
          <w:sz w:val="16"/>
          <w:szCs w:val="16"/>
          <w:lang w:val="cs-CZ"/>
        </w:rPr>
        <w:t xml:space="preserve"> </w:t>
      </w:r>
      <w:proofErr w:type="spellStart"/>
      <w:r w:rsidRPr="005B6DAB">
        <w:rPr>
          <w:rFonts w:cs="Arial"/>
          <w:i/>
          <w:sz w:val="16"/>
          <w:szCs w:val="16"/>
          <w:lang w:val="cs-CZ"/>
        </w:rPr>
        <w:t>or</w:t>
      </w:r>
      <w:proofErr w:type="spellEnd"/>
      <w:r w:rsidRPr="005B6DAB">
        <w:rPr>
          <w:rFonts w:cs="Arial"/>
          <w:i/>
          <w:sz w:val="16"/>
          <w:szCs w:val="16"/>
          <w:lang w:val="cs-CZ"/>
        </w:rPr>
        <w:t xml:space="preserve"> more </w:t>
      </w:r>
      <w:proofErr w:type="spellStart"/>
      <w:r w:rsidRPr="005B6DAB">
        <w:rPr>
          <w:rFonts w:cs="Arial"/>
          <w:i/>
          <w:sz w:val="16"/>
          <w:szCs w:val="16"/>
          <w:lang w:val="cs-CZ"/>
        </w:rPr>
        <w:t>national</w:t>
      </w:r>
      <w:proofErr w:type="spellEnd"/>
      <w:r w:rsidRPr="005B6DAB">
        <w:rPr>
          <w:rFonts w:cs="Arial"/>
          <w:i/>
          <w:sz w:val="16"/>
          <w:szCs w:val="16"/>
          <w:lang w:val="cs-CZ"/>
        </w:rPr>
        <w:t xml:space="preserve"> </w:t>
      </w:r>
      <w:proofErr w:type="spellStart"/>
      <w:r w:rsidRPr="005B6DAB">
        <w:rPr>
          <w:rFonts w:cs="Arial"/>
          <w:i/>
          <w:sz w:val="16"/>
          <w:szCs w:val="16"/>
          <w:lang w:val="cs-CZ"/>
        </w:rPr>
        <w:t>wholesale</w:t>
      </w:r>
      <w:proofErr w:type="spellEnd"/>
      <w:r w:rsidRPr="005B6DAB">
        <w:rPr>
          <w:rFonts w:cs="Arial"/>
          <w:i/>
          <w:sz w:val="16"/>
          <w:szCs w:val="16"/>
          <w:lang w:val="cs-CZ"/>
        </w:rPr>
        <w:t xml:space="preserve"> </w:t>
      </w:r>
      <w:proofErr w:type="spellStart"/>
      <w:r w:rsidRPr="005B6DAB">
        <w:rPr>
          <w:rFonts w:cs="Arial"/>
          <w:i/>
          <w:sz w:val="16"/>
          <w:szCs w:val="16"/>
          <w:lang w:val="cs-CZ"/>
        </w:rPr>
        <w:t>operators</w:t>
      </w:r>
      <w:proofErr w:type="spellEnd"/>
      <w:r w:rsidRPr="005B6DAB">
        <w:rPr>
          <w:rFonts w:cs="Arial"/>
          <w:i/>
          <w:sz w:val="16"/>
          <w:szCs w:val="16"/>
          <w:lang w:val="cs-CZ"/>
        </w:rPr>
        <w:t xml:space="preserve">, and </w:t>
      </w:r>
      <w:proofErr w:type="spellStart"/>
      <w:r w:rsidRPr="005B6DAB">
        <w:rPr>
          <w:rFonts w:cs="Arial"/>
          <w:i/>
          <w:sz w:val="16"/>
          <w:szCs w:val="16"/>
          <w:lang w:val="cs-CZ"/>
        </w:rPr>
        <w:t>seeking</w:t>
      </w:r>
      <w:proofErr w:type="spellEnd"/>
      <w:r w:rsidRPr="005B6DAB">
        <w:rPr>
          <w:rFonts w:cs="Arial"/>
          <w:i/>
          <w:sz w:val="16"/>
          <w:szCs w:val="16"/>
          <w:lang w:val="cs-CZ"/>
        </w:rPr>
        <w:t xml:space="preserve"> to </w:t>
      </w:r>
      <w:proofErr w:type="spellStart"/>
      <w:r w:rsidRPr="005B6DAB">
        <w:rPr>
          <w:rFonts w:cs="Arial"/>
          <w:i/>
          <w:sz w:val="16"/>
          <w:szCs w:val="16"/>
          <w:lang w:val="cs-CZ"/>
        </w:rPr>
        <w:t>create</w:t>
      </w:r>
      <w:proofErr w:type="spellEnd"/>
      <w:r w:rsidRPr="005B6DAB">
        <w:rPr>
          <w:rFonts w:cs="Arial"/>
          <w:i/>
          <w:sz w:val="16"/>
          <w:szCs w:val="16"/>
          <w:lang w:val="cs-CZ"/>
        </w:rPr>
        <w:t xml:space="preserve"> </w:t>
      </w:r>
      <w:proofErr w:type="spellStart"/>
      <w:r w:rsidRPr="005B6DAB">
        <w:rPr>
          <w:rFonts w:cs="Arial"/>
          <w:i/>
          <w:sz w:val="16"/>
          <w:szCs w:val="16"/>
          <w:lang w:val="cs-CZ"/>
        </w:rPr>
        <w:t>symmetry</w:t>
      </w:r>
      <w:proofErr w:type="spellEnd"/>
      <w:r w:rsidRPr="005B6DAB">
        <w:rPr>
          <w:rFonts w:cs="Arial"/>
          <w:i/>
          <w:sz w:val="16"/>
          <w:szCs w:val="16"/>
          <w:lang w:val="cs-CZ"/>
        </w:rPr>
        <w:t xml:space="preserve"> to offset </w:t>
      </w:r>
      <w:proofErr w:type="spellStart"/>
      <w:r w:rsidRPr="005B6DAB">
        <w:rPr>
          <w:rFonts w:cs="Arial"/>
          <w:i/>
          <w:sz w:val="16"/>
          <w:szCs w:val="16"/>
          <w:lang w:val="cs-CZ"/>
        </w:rPr>
        <w:t>the</w:t>
      </w:r>
      <w:proofErr w:type="spellEnd"/>
      <w:r w:rsidRPr="005B6DAB">
        <w:rPr>
          <w:rFonts w:cs="Arial"/>
          <w:i/>
          <w:sz w:val="16"/>
          <w:szCs w:val="16"/>
          <w:lang w:val="cs-CZ"/>
        </w:rPr>
        <w:t xml:space="preserve"> </w:t>
      </w:r>
      <w:proofErr w:type="spellStart"/>
      <w:r w:rsidRPr="005B6DAB">
        <w:rPr>
          <w:rFonts w:cs="Arial"/>
          <w:i/>
          <w:sz w:val="16"/>
          <w:szCs w:val="16"/>
          <w:lang w:val="cs-CZ"/>
        </w:rPr>
        <w:t>advantage</w:t>
      </w:r>
      <w:proofErr w:type="spellEnd"/>
      <w:r w:rsidRPr="005B6DAB">
        <w:rPr>
          <w:rFonts w:cs="Arial"/>
          <w:i/>
          <w:sz w:val="16"/>
          <w:szCs w:val="16"/>
          <w:lang w:val="cs-CZ"/>
        </w:rPr>
        <w:t xml:space="preserve"> </w:t>
      </w:r>
      <w:proofErr w:type="spellStart"/>
      <w:r w:rsidRPr="005B6DAB">
        <w:rPr>
          <w:rFonts w:cs="Arial"/>
          <w:i/>
          <w:sz w:val="16"/>
          <w:szCs w:val="16"/>
          <w:lang w:val="cs-CZ"/>
        </w:rPr>
        <w:t>of</w:t>
      </w:r>
      <w:proofErr w:type="spellEnd"/>
      <w:r w:rsidRPr="005B6DAB">
        <w:rPr>
          <w:rFonts w:cs="Arial"/>
          <w:i/>
          <w:sz w:val="16"/>
          <w:szCs w:val="16"/>
          <w:lang w:val="cs-CZ"/>
        </w:rPr>
        <w:t xml:space="preserve"> </w:t>
      </w:r>
      <w:proofErr w:type="spellStart"/>
      <w:r w:rsidRPr="005B6DAB">
        <w:rPr>
          <w:rFonts w:cs="Arial"/>
          <w:i/>
          <w:sz w:val="16"/>
          <w:szCs w:val="16"/>
          <w:lang w:val="cs-CZ"/>
        </w:rPr>
        <w:t>any</w:t>
      </w:r>
      <w:proofErr w:type="spellEnd"/>
      <w:r w:rsidRPr="005B6DAB">
        <w:rPr>
          <w:rFonts w:cs="Arial"/>
          <w:i/>
          <w:sz w:val="16"/>
          <w:szCs w:val="16"/>
          <w:lang w:val="cs-CZ"/>
        </w:rPr>
        <w:t xml:space="preserve"> </w:t>
      </w:r>
      <w:proofErr w:type="spellStart"/>
      <w:r w:rsidRPr="005B6DAB">
        <w:rPr>
          <w:rFonts w:cs="Arial"/>
          <w:i/>
          <w:sz w:val="16"/>
          <w:szCs w:val="16"/>
          <w:lang w:val="cs-CZ"/>
        </w:rPr>
        <w:t>two</w:t>
      </w:r>
      <w:proofErr w:type="spellEnd"/>
      <w:r w:rsidRPr="005B6DAB">
        <w:rPr>
          <w:rFonts w:cs="Arial"/>
          <w:i/>
          <w:sz w:val="16"/>
          <w:szCs w:val="16"/>
          <w:lang w:val="cs-CZ"/>
        </w:rPr>
        <w:t xml:space="preserve"> </w:t>
      </w:r>
      <w:proofErr w:type="spellStart"/>
      <w:r w:rsidRPr="005B6DAB">
        <w:rPr>
          <w:rFonts w:cs="Arial"/>
          <w:i/>
          <w:sz w:val="16"/>
          <w:szCs w:val="16"/>
          <w:lang w:val="cs-CZ"/>
        </w:rPr>
        <w:t>players</w:t>
      </w:r>
      <w:proofErr w:type="spellEnd"/>
      <w:r w:rsidRPr="005B6DAB">
        <w:rPr>
          <w:rFonts w:cs="Arial"/>
          <w:i/>
          <w:sz w:val="16"/>
          <w:szCs w:val="16"/>
          <w:lang w:val="cs-CZ"/>
        </w:rPr>
        <w:t xml:space="preserve"> </w:t>
      </w:r>
      <w:proofErr w:type="spellStart"/>
      <w:proofErr w:type="gramStart"/>
      <w:r w:rsidRPr="005B6DAB">
        <w:rPr>
          <w:rFonts w:cs="Arial"/>
          <w:i/>
          <w:sz w:val="16"/>
          <w:szCs w:val="16"/>
          <w:lang w:val="cs-CZ"/>
        </w:rPr>
        <w:t>sharing</w:t>
      </w:r>
      <w:proofErr w:type="spellEnd"/>
      <w:r w:rsidRPr="005B6DAB">
        <w:rPr>
          <w:rFonts w:cs="Arial"/>
          <w:i/>
          <w:sz w:val="16"/>
          <w:szCs w:val="16"/>
          <w:lang w:val="cs-CZ"/>
        </w:rPr>
        <w:t xml:space="preserve">, </w:t>
      </w:r>
      <w:proofErr w:type="spellStart"/>
      <w:r w:rsidRPr="005B6DAB">
        <w:rPr>
          <w:rFonts w:cs="Arial"/>
          <w:i/>
          <w:sz w:val="16"/>
          <w:szCs w:val="16"/>
          <w:lang w:val="cs-CZ"/>
        </w:rPr>
        <w:t>e.g</w:t>
      </w:r>
      <w:proofErr w:type="spellEnd"/>
      <w:r w:rsidRPr="005B6DAB">
        <w:rPr>
          <w:rFonts w:cs="Arial"/>
          <w:i/>
          <w:sz w:val="16"/>
          <w:szCs w:val="16"/>
          <w:lang w:val="cs-CZ"/>
        </w:rPr>
        <w:t>. by</w:t>
      </w:r>
      <w:proofErr w:type="gramEnd"/>
      <w:r w:rsidRPr="005B6DAB">
        <w:rPr>
          <w:rFonts w:cs="Arial"/>
          <w:i/>
          <w:sz w:val="16"/>
          <w:szCs w:val="16"/>
          <w:lang w:val="cs-CZ"/>
        </w:rPr>
        <w:t xml:space="preserve"> </w:t>
      </w:r>
      <w:proofErr w:type="spellStart"/>
      <w:r w:rsidRPr="005B6DAB">
        <w:rPr>
          <w:rFonts w:cs="Arial"/>
          <w:i/>
          <w:sz w:val="16"/>
          <w:szCs w:val="16"/>
          <w:lang w:val="cs-CZ"/>
        </w:rPr>
        <w:t>allowing</w:t>
      </w:r>
      <w:proofErr w:type="spellEnd"/>
      <w:r w:rsidRPr="005B6DAB">
        <w:rPr>
          <w:rFonts w:cs="Arial"/>
          <w:i/>
          <w:sz w:val="16"/>
          <w:szCs w:val="16"/>
          <w:lang w:val="cs-CZ"/>
        </w:rPr>
        <w:t xml:space="preserve"> </w:t>
      </w:r>
      <w:proofErr w:type="spellStart"/>
      <w:r w:rsidRPr="005B6DAB">
        <w:rPr>
          <w:rFonts w:cs="Arial"/>
          <w:i/>
          <w:sz w:val="16"/>
          <w:szCs w:val="16"/>
          <w:lang w:val="cs-CZ"/>
        </w:rPr>
        <w:t>the</w:t>
      </w:r>
      <w:proofErr w:type="spellEnd"/>
      <w:r w:rsidRPr="005B6DAB">
        <w:rPr>
          <w:rFonts w:cs="Arial"/>
          <w:i/>
          <w:sz w:val="16"/>
          <w:szCs w:val="16"/>
          <w:lang w:val="cs-CZ"/>
        </w:rPr>
        <w:t xml:space="preserve"> non-</w:t>
      </w:r>
      <w:proofErr w:type="spellStart"/>
      <w:r w:rsidRPr="005B6DAB">
        <w:rPr>
          <w:rFonts w:cs="Arial"/>
          <w:i/>
          <w:sz w:val="16"/>
          <w:szCs w:val="16"/>
          <w:lang w:val="cs-CZ"/>
        </w:rPr>
        <w:t>sharer</w:t>
      </w:r>
      <w:proofErr w:type="spellEnd"/>
      <w:r w:rsidRPr="005B6DAB">
        <w:rPr>
          <w:rFonts w:cs="Arial"/>
          <w:i/>
          <w:sz w:val="16"/>
          <w:szCs w:val="16"/>
          <w:lang w:val="cs-CZ"/>
        </w:rPr>
        <w:t xml:space="preserve"> a </w:t>
      </w:r>
      <w:proofErr w:type="spellStart"/>
      <w:r w:rsidRPr="005B6DAB">
        <w:rPr>
          <w:rFonts w:cs="Arial"/>
          <w:i/>
          <w:sz w:val="16"/>
          <w:szCs w:val="16"/>
          <w:lang w:val="cs-CZ"/>
        </w:rPr>
        <w:t>greater</w:t>
      </w:r>
      <w:proofErr w:type="spellEnd"/>
      <w:r w:rsidRPr="005B6DAB">
        <w:rPr>
          <w:rFonts w:cs="Arial"/>
          <w:i/>
          <w:sz w:val="16"/>
          <w:szCs w:val="16"/>
          <w:lang w:val="cs-CZ"/>
        </w:rPr>
        <w:t xml:space="preserve"> </w:t>
      </w:r>
      <w:proofErr w:type="spellStart"/>
      <w:r w:rsidRPr="005B6DAB">
        <w:rPr>
          <w:rFonts w:cs="Arial"/>
          <w:i/>
          <w:sz w:val="16"/>
          <w:szCs w:val="16"/>
          <w:lang w:val="cs-CZ"/>
        </w:rPr>
        <w:t>allocation</w:t>
      </w:r>
      <w:proofErr w:type="spellEnd"/>
      <w:r w:rsidRPr="005B6DAB">
        <w:rPr>
          <w:rFonts w:cs="Arial"/>
          <w:i/>
          <w:sz w:val="16"/>
          <w:szCs w:val="16"/>
          <w:lang w:val="cs-CZ"/>
        </w:rPr>
        <w:t xml:space="preserve"> </w:t>
      </w:r>
      <w:proofErr w:type="spellStart"/>
      <w:r w:rsidRPr="005B6DAB">
        <w:rPr>
          <w:rFonts w:cs="Arial"/>
          <w:i/>
          <w:sz w:val="16"/>
          <w:szCs w:val="16"/>
          <w:lang w:val="cs-CZ"/>
        </w:rPr>
        <w:t>of</w:t>
      </w:r>
      <w:proofErr w:type="spellEnd"/>
      <w:r w:rsidRPr="005B6DAB">
        <w:rPr>
          <w:rFonts w:cs="Arial"/>
          <w:i/>
          <w:sz w:val="16"/>
          <w:szCs w:val="16"/>
          <w:lang w:val="cs-CZ"/>
        </w:rPr>
        <w:t xml:space="preserve"> </w:t>
      </w:r>
      <w:proofErr w:type="spellStart"/>
      <w:r w:rsidRPr="005B6DAB">
        <w:rPr>
          <w:rFonts w:cs="Arial"/>
          <w:i/>
          <w:sz w:val="16"/>
          <w:szCs w:val="16"/>
          <w:lang w:val="cs-CZ"/>
        </w:rPr>
        <w:t>spectrum</w:t>
      </w:r>
      <w:proofErr w:type="spellEnd"/>
      <w:r w:rsidRPr="005B6DAB">
        <w:rPr>
          <w:rFonts w:cs="Arial"/>
          <w:i/>
          <w:sz w:val="16"/>
          <w:szCs w:val="16"/>
          <w:lang w:val="cs-CZ"/>
        </w:rPr>
        <w:t xml:space="preserve">, </w:t>
      </w:r>
      <w:proofErr w:type="spellStart"/>
      <w:r w:rsidRPr="005B6DAB">
        <w:rPr>
          <w:rFonts w:cs="Arial"/>
          <w:i/>
          <w:sz w:val="16"/>
          <w:szCs w:val="16"/>
          <w:lang w:val="cs-CZ"/>
        </w:rPr>
        <w:t>may</w:t>
      </w:r>
      <w:proofErr w:type="spellEnd"/>
      <w:r w:rsidRPr="005B6DAB">
        <w:rPr>
          <w:rFonts w:cs="Arial"/>
          <w:i/>
          <w:sz w:val="16"/>
          <w:szCs w:val="16"/>
          <w:lang w:val="cs-CZ"/>
        </w:rPr>
        <w:t xml:space="preserve"> </w:t>
      </w:r>
      <w:proofErr w:type="spellStart"/>
      <w:r w:rsidRPr="005B6DAB">
        <w:rPr>
          <w:rFonts w:cs="Arial"/>
          <w:i/>
          <w:sz w:val="16"/>
          <w:szCs w:val="16"/>
          <w:lang w:val="cs-CZ"/>
        </w:rPr>
        <w:t>result</w:t>
      </w:r>
      <w:proofErr w:type="spellEnd"/>
      <w:r w:rsidRPr="005B6DAB">
        <w:rPr>
          <w:rFonts w:cs="Arial"/>
          <w:i/>
          <w:sz w:val="16"/>
          <w:szCs w:val="16"/>
          <w:lang w:val="cs-CZ"/>
        </w:rPr>
        <w:t xml:space="preserve"> in </w:t>
      </w:r>
      <w:proofErr w:type="spellStart"/>
      <w:r w:rsidRPr="005B6DAB">
        <w:rPr>
          <w:rFonts w:cs="Arial"/>
          <w:i/>
          <w:sz w:val="16"/>
          <w:szCs w:val="16"/>
          <w:lang w:val="cs-CZ"/>
        </w:rPr>
        <w:t>further</w:t>
      </w:r>
      <w:proofErr w:type="spellEnd"/>
      <w:r w:rsidRPr="005B6DAB">
        <w:rPr>
          <w:rFonts w:cs="Arial"/>
          <w:i/>
          <w:sz w:val="16"/>
          <w:szCs w:val="16"/>
          <w:lang w:val="cs-CZ"/>
        </w:rPr>
        <w:t xml:space="preserve"> </w:t>
      </w:r>
      <w:proofErr w:type="spellStart"/>
      <w:r w:rsidRPr="005B6DAB">
        <w:rPr>
          <w:rFonts w:cs="Arial"/>
          <w:i/>
          <w:sz w:val="16"/>
          <w:szCs w:val="16"/>
          <w:lang w:val="cs-CZ"/>
        </w:rPr>
        <w:t>concentration</w:t>
      </w:r>
      <w:proofErr w:type="spellEnd"/>
      <w:r w:rsidRPr="005B6DAB">
        <w:rPr>
          <w:rFonts w:cs="Arial"/>
          <w:i/>
          <w:sz w:val="16"/>
          <w:szCs w:val="16"/>
          <w:lang w:val="cs-CZ"/>
        </w:rPr>
        <w:t xml:space="preserve"> and </w:t>
      </w:r>
      <w:proofErr w:type="spellStart"/>
      <w:r w:rsidRPr="005B6DAB">
        <w:rPr>
          <w:rFonts w:cs="Arial"/>
          <w:i/>
          <w:sz w:val="16"/>
          <w:szCs w:val="16"/>
          <w:lang w:val="cs-CZ"/>
        </w:rPr>
        <w:t>less</w:t>
      </w:r>
      <w:proofErr w:type="spellEnd"/>
      <w:r w:rsidRPr="005B6DAB">
        <w:rPr>
          <w:rFonts w:cs="Arial"/>
          <w:i/>
          <w:sz w:val="16"/>
          <w:szCs w:val="16"/>
          <w:lang w:val="cs-CZ"/>
        </w:rPr>
        <w:t xml:space="preserve"> </w:t>
      </w:r>
      <w:proofErr w:type="spellStart"/>
      <w:r w:rsidRPr="005B6DAB">
        <w:rPr>
          <w:rFonts w:cs="Arial"/>
          <w:i/>
          <w:sz w:val="16"/>
          <w:szCs w:val="16"/>
          <w:lang w:val="cs-CZ"/>
        </w:rPr>
        <w:t>competition</w:t>
      </w:r>
      <w:proofErr w:type="spellEnd"/>
      <w:r w:rsidRPr="005B6DAB">
        <w:rPr>
          <w:rFonts w:cs="Arial"/>
          <w:i/>
          <w:sz w:val="16"/>
          <w:szCs w:val="16"/>
          <w:lang w:val="cs-CZ"/>
        </w:rPr>
        <w:t xml:space="preserve"> at </w:t>
      </w:r>
      <w:proofErr w:type="spellStart"/>
      <w:r w:rsidRPr="005B6DAB">
        <w:rPr>
          <w:rFonts w:cs="Arial"/>
          <w:i/>
          <w:sz w:val="16"/>
          <w:szCs w:val="16"/>
          <w:lang w:val="cs-CZ"/>
        </w:rPr>
        <w:t>the</w:t>
      </w:r>
      <w:proofErr w:type="spellEnd"/>
      <w:r w:rsidRPr="005B6DAB">
        <w:rPr>
          <w:rFonts w:cs="Arial"/>
          <w:i/>
          <w:sz w:val="16"/>
          <w:szCs w:val="16"/>
          <w:lang w:val="cs-CZ"/>
        </w:rPr>
        <w:t xml:space="preserve"> retail </w:t>
      </w:r>
      <w:proofErr w:type="spellStart"/>
      <w:r w:rsidRPr="005B6DAB">
        <w:rPr>
          <w:rFonts w:cs="Arial"/>
          <w:i/>
          <w:sz w:val="16"/>
          <w:szCs w:val="16"/>
          <w:lang w:val="cs-CZ"/>
        </w:rPr>
        <w:t>level</w:t>
      </w:r>
      <w:proofErr w:type="spellEnd"/>
      <w:r w:rsidRPr="005B6DAB">
        <w:rPr>
          <w:rFonts w:cs="Arial"/>
          <w:sz w:val="16"/>
          <w:szCs w:val="16"/>
          <w:lang w:val="cs-CZ"/>
        </w:rPr>
        <w:t>.” (</w:t>
      </w:r>
      <w:proofErr w:type="spellStart"/>
      <w:r w:rsidRPr="005B6DAB">
        <w:rPr>
          <w:rFonts w:cs="Arial"/>
          <w:sz w:val="16"/>
          <w:szCs w:val="16"/>
          <w:lang w:val="cs-CZ"/>
        </w:rPr>
        <w:t>ibid</w:t>
      </w:r>
      <w:proofErr w:type="spellEnd"/>
      <w:r w:rsidRPr="005B6DAB">
        <w:rPr>
          <w:rFonts w:cs="Arial"/>
          <w:sz w:val="16"/>
          <w:szCs w:val="16"/>
          <w:lang w:val="cs-CZ"/>
        </w:rPr>
        <w:t>., str. 68)</w:t>
      </w:r>
      <w:r>
        <w:rPr>
          <w:rFonts w:cs="Arial"/>
          <w:sz w:val="16"/>
          <w:szCs w:val="16"/>
          <w:lang w:val="cs-CZ"/>
        </w:rPr>
        <w:t>.</w:t>
      </w:r>
    </w:p>
  </w:footnote>
  <w:footnote w:id="124">
    <w:p w14:paraId="5C1F195E" w14:textId="77777777" w:rsidR="00273E54" w:rsidRPr="005B6DAB" w:rsidRDefault="00273E54" w:rsidP="00A163E1">
      <w:pPr>
        <w:pStyle w:val="Textpoznpodarou"/>
        <w:tabs>
          <w:tab w:val="left" w:pos="284"/>
        </w:tabs>
        <w:spacing w:before="0" w:after="0" w:line="276" w:lineRule="auto"/>
        <w:jc w:val="left"/>
        <w:rPr>
          <w:rFonts w:cs="Arial"/>
          <w:sz w:val="16"/>
          <w:szCs w:val="16"/>
          <w:lang w:val="cs-CZ"/>
        </w:rPr>
      </w:pPr>
      <w:r w:rsidRPr="005B6DAB">
        <w:rPr>
          <w:rStyle w:val="Znakapoznpodarou"/>
          <w:rFonts w:cs="Arial"/>
          <w:sz w:val="16"/>
          <w:szCs w:val="16"/>
          <w:lang w:val="cs-CZ"/>
        </w:rPr>
        <w:footnoteRef/>
      </w:r>
      <w:r w:rsidRPr="005B6DAB">
        <w:rPr>
          <w:rFonts w:cs="Arial"/>
          <w:sz w:val="16"/>
          <w:szCs w:val="16"/>
          <w:lang w:val="cs-CZ"/>
        </w:rPr>
        <w:t xml:space="preserve"> </w:t>
      </w:r>
      <w:r>
        <w:rPr>
          <w:rFonts w:cs="Arial"/>
          <w:sz w:val="16"/>
          <w:szCs w:val="16"/>
          <w:lang w:val="cs-CZ"/>
        </w:rPr>
        <w:tab/>
      </w:r>
      <w:r w:rsidRPr="005B6DAB">
        <w:rPr>
          <w:rFonts w:cs="Arial"/>
          <w:sz w:val="16"/>
          <w:szCs w:val="16"/>
          <w:lang w:val="cs-CZ"/>
        </w:rPr>
        <w:t>1. S vnitřním trhem jsou neslučitelné, a proto zakázané, veškeré dohody mezi podniky, rozhodnutí sdružení podniků a jednání ve vzájemné shodě, které by mohly ovlivnit obchod mezi členskými státy a jejichž účelem nebo důsledkem je vyloučení, omezení nebo narušení hospodářské soutěže na vnitřním trhu, zejména ty, které</w:t>
      </w:r>
    </w:p>
    <w:p w14:paraId="301CFF5E" w14:textId="77777777" w:rsidR="00273E54" w:rsidRPr="005B6DAB" w:rsidRDefault="00273E54" w:rsidP="00A163E1">
      <w:pPr>
        <w:pStyle w:val="Textpoznpodarou"/>
        <w:spacing w:before="0" w:after="0" w:line="276" w:lineRule="auto"/>
        <w:ind w:left="426"/>
        <w:jc w:val="left"/>
        <w:rPr>
          <w:rFonts w:cs="Arial"/>
          <w:sz w:val="16"/>
          <w:szCs w:val="16"/>
          <w:lang w:val="cs-CZ"/>
        </w:rPr>
      </w:pPr>
      <w:r w:rsidRPr="005B6DAB">
        <w:rPr>
          <w:rFonts w:cs="Arial"/>
          <w:sz w:val="16"/>
          <w:szCs w:val="16"/>
          <w:lang w:val="cs-CZ"/>
        </w:rPr>
        <w:t>a) přímo nebo nepřímo určují nákupní nebo prodejní ceny anebo jiné obchodní podmínky;</w:t>
      </w:r>
    </w:p>
    <w:p w14:paraId="637D9948" w14:textId="77777777" w:rsidR="00273E54" w:rsidRPr="005B6DAB" w:rsidRDefault="00273E54" w:rsidP="00A163E1">
      <w:pPr>
        <w:pStyle w:val="Textpoznpodarou"/>
        <w:spacing w:before="0" w:after="0" w:line="276" w:lineRule="auto"/>
        <w:ind w:left="426"/>
        <w:jc w:val="left"/>
        <w:rPr>
          <w:rFonts w:cs="Arial"/>
          <w:sz w:val="16"/>
          <w:szCs w:val="16"/>
          <w:lang w:val="cs-CZ"/>
        </w:rPr>
      </w:pPr>
      <w:r w:rsidRPr="005B6DAB">
        <w:rPr>
          <w:rFonts w:cs="Arial"/>
          <w:sz w:val="16"/>
          <w:szCs w:val="16"/>
          <w:lang w:val="cs-CZ"/>
        </w:rPr>
        <w:t>b) omezují nebo kontrolují výrobu, odbyt, technický rozvoj nebo investice;</w:t>
      </w:r>
    </w:p>
    <w:p w14:paraId="646E3AB7" w14:textId="77777777" w:rsidR="00273E54" w:rsidRPr="005B6DAB" w:rsidRDefault="00273E54" w:rsidP="00A163E1">
      <w:pPr>
        <w:pStyle w:val="Textpoznpodarou"/>
        <w:spacing w:before="0" w:after="0" w:line="276" w:lineRule="auto"/>
        <w:ind w:left="426"/>
        <w:jc w:val="left"/>
        <w:rPr>
          <w:rFonts w:cs="Arial"/>
          <w:sz w:val="16"/>
          <w:szCs w:val="16"/>
          <w:lang w:val="cs-CZ"/>
        </w:rPr>
      </w:pPr>
      <w:r w:rsidRPr="005B6DAB">
        <w:rPr>
          <w:rFonts w:cs="Arial"/>
          <w:sz w:val="16"/>
          <w:szCs w:val="16"/>
          <w:lang w:val="cs-CZ"/>
        </w:rPr>
        <w:t>c) rozdělují trhy nebo zdroje zásobování;</w:t>
      </w:r>
    </w:p>
    <w:p w14:paraId="73CF7D55" w14:textId="77777777" w:rsidR="00273E54" w:rsidRPr="005B6DAB" w:rsidRDefault="00273E54" w:rsidP="00A163E1">
      <w:pPr>
        <w:pStyle w:val="Textpoznpodarou"/>
        <w:spacing w:before="0" w:after="0" w:line="276" w:lineRule="auto"/>
        <w:ind w:left="426"/>
        <w:jc w:val="left"/>
        <w:rPr>
          <w:rFonts w:cs="Arial"/>
          <w:sz w:val="16"/>
          <w:szCs w:val="16"/>
          <w:lang w:val="cs-CZ"/>
        </w:rPr>
      </w:pPr>
      <w:r w:rsidRPr="005B6DAB">
        <w:rPr>
          <w:rFonts w:cs="Arial"/>
          <w:sz w:val="16"/>
          <w:szCs w:val="16"/>
          <w:lang w:val="cs-CZ"/>
        </w:rPr>
        <w:t>d) uplatňují vůči obchodním partnerům rozdílné podmínky při plnění stejné povahy, čímž jsou někteří partneři znevýhodněni v hospodářské soutěži;</w:t>
      </w:r>
    </w:p>
    <w:p w14:paraId="7A081392" w14:textId="77777777" w:rsidR="00273E54" w:rsidRPr="005B6DAB" w:rsidRDefault="00273E54" w:rsidP="00A163E1">
      <w:pPr>
        <w:pStyle w:val="Textpoznpodarou"/>
        <w:spacing w:before="0" w:after="0" w:line="276" w:lineRule="auto"/>
        <w:ind w:left="426"/>
        <w:jc w:val="left"/>
        <w:rPr>
          <w:rFonts w:cs="Arial"/>
          <w:sz w:val="16"/>
          <w:szCs w:val="16"/>
          <w:lang w:val="cs-CZ"/>
        </w:rPr>
      </w:pPr>
      <w:r w:rsidRPr="005B6DAB">
        <w:rPr>
          <w:rFonts w:cs="Arial"/>
          <w:sz w:val="16"/>
          <w:szCs w:val="16"/>
          <w:lang w:val="cs-CZ"/>
        </w:rPr>
        <w:t>e) podmiňují uzavření smluv tím, že druhá strana přijme další plnění, která ani věcně, ani podle obchodních zvyklostí s předmětem těchto smluv nesouvisejí.</w:t>
      </w:r>
    </w:p>
    <w:p w14:paraId="22E3C53F" w14:textId="77777777" w:rsidR="00273E54" w:rsidRPr="005B6DAB" w:rsidRDefault="00273E54" w:rsidP="00A163E1">
      <w:pPr>
        <w:pStyle w:val="Textpoznpodarou"/>
        <w:spacing w:before="0" w:after="0" w:line="276" w:lineRule="auto"/>
        <w:ind w:left="284"/>
        <w:jc w:val="left"/>
        <w:rPr>
          <w:rFonts w:cs="Arial"/>
          <w:sz w:val="16"/>
          <w:szCs w:val="16"/>
          <w:lang w:val="cs-CZ"/>
        </w:rPr>
      </w:pPr>
      <w:r w:rsidRPr="005B6DAB">
        <w:rPr>
          <w:rFonts w:cs="Arial"/>
          <w:sz w:val="16"/>
          <w:szCs w:val="16"/>
          <w:lang w:val="cs-CZ"/>
        </w:rPr>
        <w:t>2. Dohody nebo rozhodnutí zakázané podle tohoto článku jsou neplatné od počátku.</w:t>
      </w:r>
    </w:p>
    <w:p w14:paraId="1712C972" w14:textId="77777777" w:rsidR="00273E54" w:rsidRPr="005B6DAB" w:rsidRDefault="00273E54" w:rsidP="00A163E1">
      <w:pPr>
        <w:pStyle w:val="Textpoznpodarou"/>
        <w:spacing w:before="0" w:after="0" w:line="276" w:lineRule="auto"/>
        <w:ind w:left="284"/>
        <w:jc w:val="left"/>
        <w:rPr>
          <w:rFonts w:cs="Arial"/>
          <w:sz w:val="16"/>
          <w:szCs w:val="16"/>
          <w:lang w:val="cs-CZ"/>
        </w:rPr>
      </w:pPr>
      <w:r w:rsidRPr="005B6DAB">
        <w:rPr>
          <w:rFonts w:cs="Arial"/>
          <w:sz w:val="16"/>
          <w:szCs w:val="16"/>
          <w:lang w:val="cs-CZ"/>
        </w:rPr>
        <w:t>3. Odstavec 1 však může být prohlášen za neúčinný pro:</w:t>
      </w:r>
    </w:p>
    <w:p w14:paraId="46C6DFCC" w14:textId="77777777" w:rsidR="00273E54" w:rsidRPr="005B6DAB" w:rsidRDefault="00273E54" w:rsidP="00A163E1">
      <w:pPr>
        <w:pStyle w:val="Textpoznpodarou"/>
        <w:numPr>
          <w:ilvl w:val="0"/>
          <w:numId w:val="10"/>
        </w:numPr>
        <w:spacing w:before="0" w:after="0" w:line="276" w:lineRule="auto"/>
        <w:ind w:left="709" w:hanging="219"/>
        <w:jc w:val="left"/>
        <w:rPr>
          <w:rFonts w:cs="Arial"/>
          <w:sz w:val="16"/>
          <w:szCs w:val="16"/>
          <w:lang w:val="cs-CZ"/>
        </w:rPr>
      </w:pPr>
      <w:r w:rsidRPr="005B6DAB">
        <w:rPr>
          <w:rFonts w:cs="Arial"/>
          <w:sz w:val="16"/>
          <w:szCs w:val="16"/>
          <w:lang w:val="cs-CZ"/>
        </w:rPr>
        <w:t>dohody nebo kategorie dohod mezi podniky,</w:t>
      </w:r>
    </w:p>
    <w:p w14:paraId="56847697" w14:textId="77777777" w:rsidR="00273E54" w:rsidRPr="005B6DAB" w:rsidRDefault="00273E54" w:rsidP="00A163E1">
      <w:pPr>
        <w:pStyle w:val="Textpoznpodarou"/>
        <w:numPr>
          <w:ilvl w:val="0"/>
          <w:numId w:val="10"/>
        </w:numPr>
        <w:spacing w:before="0" w:after="0" w:line="276" w:lineRule="auto"/>
        <w:ind w:left="709" w:hanging="219"/>
        <w:jc w:val="left"/>
        <w:rPr>
          <w:rFonts w:cs="Arial"/>
          <w:sz w:val="16"/>
          <w:szCs w:val="16"/>
          <w:lang w:val="cs-CZ"/>
        </w:rPr>
      </w:pPr>
      <w:r w:rsidRPr="005B6DAB">
        <w:rPr>
          <w:rFonts w:cs="Arial"/>
          <w:sz w:val="16"/>
          <w:szCs w:val="16"/>
          <w:lang w:val="cs-CZ"/>
        </w:rPr>
        <w:t>rozhodnutí nebo kategorie rozhodnutí sdružení podniků a</w:t>
      </w:r>
    </w:p>
    <w:p w14:paraId="32C664C2" w14:textId="77777777" w:rsidR="00273E54" w:rsidRPr="005B6DAB" w:rsidRDefault="00273E54" w:rsidP="00A163E1">
      <w:pPr>
        <w:pStyle w:val="Textpoznpodarou"/>
        <w:numPr>
          <w:ilvl w:val="0"/>
          <w:numId w:val="10"/>
        </w:numPr>
        <w:spacing w:before="0" w:after="0" w:line="276" w:lineRule="auto"/>
        <w:ind w:left="709" w:hanging="219"/>
        <w:jc w:val="left"/>
        <w:rPr>
          <w:rFonts w:cs="Arial"/>
          <w:sz w:val="16"/>
          <w:szCs w:val="16"/>
          <w:lang w:val="cs-CZ"/>
        </w:rPr>
      </w:pPr>
      <w:r w:rsidRPr="005B6DAB">
        <w:rPr>
          <w:rFonts w:cs="Arial"/>
          <w:sz w:val="16"/>
          <w:szCs w:val="16"/>
          <w:lang w:val="cs-CZ"/>
        </w:rPr>
        <w:t>jednání ve vzájemné shodě nebo jejich kategorie, které přispívají ke zlepšení výroby nebo distribuce výrobků anebo k podpoře technického či hospodářského pokroku, přičemž vyhrazují spotřebitelům přiměřený podíl na výhodách z toho vyplývajících, a které</w:t>
      </w:r>
    </w:p>
    <w:p w14:paraId="00144185" w14:textId="77777777" w:rsidR="00273E54" w:rsidRPr="005B6DAB" w:rsidRDefault="00273E54" w:rsidP="00A163E1">
      <w:pPr>
        <w:pStyle w:val="Textpoznpodarou"/>
        <w:spacing w:before="0" w:after="0" w:line="276" w:lineRule="auto"/>
        <w:ind w:left="851"/>
        <w:jc w:val="left"/>
        <w:rPr>
          <w:rFonts w:cs="Arial"/>
          <w:sz w:val="16"/>
          <w:szCs w:val="16"/>
          <w:lang w:val="cs-CZ"/>
        </w:rPr>
      </w:pPr>
      <w:r w:rsidRPr="005B6DAB">
        <w:rPr>
          <w:rFonts w:cs="Arial"/>
          <w:sz w:val="16"/>
          <w:szCs w:val="16"/>
          <w:lang w:val="cs-CZ"/>
        </w:rPr>
        <w:t>a) neukládají příslušným podnikům omezení, jež nejsou k dosažení těchto cílů nezbytná;</w:t>
      </w:r>
    </w:p>
    <w:p w14:paraId="24223308" w14:textId="77777777" w:rsidR="00273E54" w:rsidRPr="005B6DAB" w:rsidRDefault="00273E54" w:rsidP="00A163E1">
      <w:pPr>
        <w:pStyle w:val="Textpoznpodarou"/>
        <w:spacing w:before="0" w:after="0" w:line="276" w:lineRule="auto"/>
        <w:ind w:left="851"/>
        <w:jc w:val="left"/>
        <w:rPr>
          <w:rFonts w:cs="Arial"/>
          <w:sz w:val="16"/>
          <w:szCs w:val="16"/>
          <w:lang w:val="cs-CZ"/>
        </w:rPr>
      </w:pPr>
      <w:r w:rsidRPr="005B6DAB">
        <w:rPr>
          <w:rFonts w:cs="Arial"/>
          <w:sz w:val="16"/>
          <w:szCs w:val="16"/>
          <w:lang w:val="cs-CZ"/>
        </w:rPr>
        <w:t>b) neumožňují těmto podnikům vyloučit hospodářskou soutěž ve vztahu k podstatné části výrobků tímto dotčených.</w:t>
      </w:r>
    </w:p>
  </w:footnote>
  <w:footnote w:id="125">
    <w:p w14:paraId="4F0C77B9"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lang w:val="cs-CZ"/>
        </w:rPr>
        <w:footnoteRef/>
      </w:r>
      <w:r w:rsidRPr="005B6DAB">
        <w:rPr>
          <w:rFonts w:cs="Arial"/>
          <w:sz w:val="16"/>
          <w:szCs w:val="16"/>
          <w:lang w:val="cs-CZ"/>
        </w:rPr>
        <w:t xml:space="preserve"> Bod 163 Pokynů Komise</w:t>
      </w:r>
      <w:r>
        <w:rPr>
          <w:rFonts w:cs="Arial"/>
          <w:sz w:val="16"/>
          <w:szCs w:val="16"/>
          <w:lang w:val="cs-CZ"/>
        </w:rPr>
        <w:t>.</w:t>
      </w:r>
    </w:p>
  </w:footnote>
  <w:footnote w:id="126">
    <w:p w14:paraId="2C59D611"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lang w:val="cs-CZ"/>
        </w:rPr>
        <w:footnoteRef/>
      </w:r>
      <w:r w:rsidRPr="005B6DAB">
        <w:rPr>
          <w:rFonts w:cs="Arial"/>
          <w:sz w:val="16"/>
          <w:szCs w:val="16"/>
          <w:lang w:val="cs-CZ"/>
        </w:rPr>
        <w:t xml:space="preserve"> Bod 116 rozhodnutí T-328/03</w:t>
      </w:r>
      <w:r>
        <w:rPr>
          <w:rFonts w:cs="Arial"/>
          <w:sz w:val="16"/>
          <w:szCs w:val="16"/>
          <w:lang w:val="cs-CZ"/>
        </w:rPr>
        <w:t>.</w:t>
      </w:r>
    </w:p>
  </w:footnote>
  <w:footnote w:id="127">
    <w:p w14:paraId="0D760632"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lang w:val="cs-CZ"/>
        </w:rPr>
        <w:footnoteRef/>
      </w:r>
      <w:r w:rsidRPr="005B6DAB">
        <w:rPr>
          <w:rFonts w:cs="Arial"/>
          <w:sz w:val="16"/>
          <w:szCs w:val="16"/>
          <w:lang w:val="cs-CZ"/>
        </w:rPr>
        <w:t xml:space="preserve"> Článek 11 odst. 6 nařízení Rady č. 1/2003</w:t>
      </w:r>
      <w:r>
        <w:rPr>
          <w:rFonts w:cs="Arial"/>
          <w:sz w:val="16"/>
          <w:szCs w:val="16"/>
          <w:lang w:val="cs-CZ"/>
        </w:rPr>
        <w:t>.</w:t>
      </w:r>
      <w:r w:rsidRPr="005B6DAB">
        <w:rPr>
          <w:rFonts w:cs="Arial"/>
          <w:sz w:val="16"/>
          <w:szCs w:val="16"/>
          <w:lang w:val="cs-CZ"/>
        </w:rPr>
        <w:t xml:space="preserve"> </w:t>
      </w:r>
    </w:p>
  </w:footnote>
  <w:footnote w:id="128">
    <w:p w14:paraId="03D8729A"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lang w:val="cs-CZ"/>
        </w:rPr>
        <w:footnoteRef/>
      </w:r>
      <w:r w:rsidRPr="005B6DAB">
        <w:rPr>
          <w:rFonts w:cs="Arial"/>
          <w:sz w:val="16"/>
          <w:szCs w:val="16"/>
          <w:lang w:val="cs-CZ"/>
        </w:rPr>
        <w:t xml:space="preserve"> Tato kritéria jsou uváděna francouzským AC (dostupné z: http://www.autoritedelaconcurrence.fr/user/standard.php?id_rub=483&amp;id_article=2062) i ve zprávě společnosti CSR </w:t>
      </w:r>
      <w:proofErr w:type="spellStart"/>
      <w:r w:rsidRPr="005B6DAB">
        <w:rPr>
          <w:rFonts w:cs="Arial"/>
          <w:sz w:val="16"/>
          <w:szCs w:val="16"/>
          <w:lang w:val="cs-CZ"/>
        </w:rPr>
        <w:t>Economics</w:t>
      </w:r>
      <w:proofErr w:type="spellEnd"/>
      <w:r w:rsidRPr="005B6DAB">
        <w:rPr>
          <w:rFonts w:cs="Arial"/>
          <w:sz w:val="16"/>
          <w:szCs w:val="16"/>
          <w:lang w:val="cs-CZ"/>
        </w:rPr>
        <w:t xml:space="preserve"> pro TMCZ </w:t>
      </w:r>
      <w:r w:rsidRPr="005B6DAB">
        <w:rPr>
          <w:rFonts w:cs="Arial"/>
          <w:i/>
          <w:sz w:val="16"/>
          <w:szCs w:val="16"/>
          <w:lang w:val="cs-CZ"/>
        </w:rPr>
        <w:t>Dopady sdílení přístupové sítě LTE mezi společnostmi T-Mobile Czech Republic a O2 Czech Republic</w:t>
      </w:r>
      <w:r w:rsidRPr="005B6DAB">
        <w:rPr>
          <w:rFonts w:cs="Arial"/>
          <w:sz w:val="16"/>
          <w:szCs w:val="16"/>
          <w:lang w:val="cs-CZ"/>
        </w:rPr>
        <w:t>, str. 13</w:t>
      </w:r>
      <w:r>
        <w:rPr>
          <w:rFonts w:cs="Arial"/>
          <w:sz w:val="16"/>
          <w:szCs w:val="16"/>
          <w:lang w:val="cs-CZ"/>
        </w:rPr>
        <w:t>.</w:t>
      </w:r>
    </w:p>
  </w:footnote>
  <w:footnote w:id="129">
    <w:p w14:paraId="21B12788"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lang w:val="cs-CZ"/>
        </w:rPr>
        <w:footnoteRef/>
      </w:r>
      <w:r w:rsidRPr="005B6DAB">
        <w:rPr>
          <w:rFonts w:cs="Arial"/>
          <w:sz w:val="16"/>
          <w:szCs w:val="16"/>
          <w:lang w:val="cs-CZ"/>
        </w:rPr>
        <w:t xml:space="preserve"> Viz Joint BEREC/RSPG Report on </w:t>
      </w:r>
      <w:proofErr w:type="spellStart"/>
      <w:r w:rsidRPr="005B6DAB">
        <w:rPr>
          <w:rFonts w:cs="Arial"/>
          <w:sz w:val="16"/>
          <w:szCs w:val="16"/>
          <w:lang w:val="cs-CZ"/>
        </w:rPr>
        <w:t>Infrastructure</w:t>
      </w:r>
      <w:proofErr w:type="spellEnd"/>
      <w:r w:rsidRPr="005B6DAB">
        <w:rPr>
          <w:rFonts w:cs="Arial"/>
          <w:sz w:val="16"/>
          <w:szCs w:val="16"/>
          <w:lang w:val="cs-CZ"/>
        </w:rPr>
        <w:t xml:space="preserve"> and </w:t>
      </w:r>
      <w:proofErr w:type="spellStart"/>
      <w:r w:rsidRPr="005B6DAB">
        <w:rPr>
          <w:rFonts w:cs="Arial"/>
          <w:sz w:val="16"/>
          <w:szCs w:val="16"/>
          <w:lang w:val="cs-CZ"/>
        </w:rPr>
        <w:t>spectrum</w:t>
      </w:r>
      <w:proofErr w:type="spellEnd"/>
      <w:r w:rsidRPr="005B6DAB">
        <w:rPr>
          <w:rFonts w:cs="Arial"/>
          <w:sz w:val="16"/>
          <w:szCs w:val="16"/>
          <w:lang w:val="cs-CZ"/>
        </w:rPr>
        <w:t xml:space="preserve"> </w:t>
      </w:r>
      <w:proofErr w:type="spellStart"/>
      <w:r w:rsidRPr="005B6DAB">
        <w:rPr>
          <w:rFonts w:cs="Arial"/>
          <w:sz w:val="16"/>
          <w:szCs w:val="16"/>
          <w:lang w:val="cs-CZ"/>
        </w:rPr>
        <w:t>sharing</w:t>
      </w:r>
      <w:proofErr w:type="spellEnd"/>
      <w:r w:rsidRPr="005B6DAB">
        <w:rPr>
          <w:rFonts w:cs="Arial"/>
          <w:sz w:val="16"/>
          <w:szCs w:val="16"/>
          <w:lang w:val="cs-CZ"/>
        </w:rPr>
        <w:t xml:space="preserve"> in mobile/</w:t>
      </w:r>
      <w:proofErr w:type="spellStart"/>
      <w:r w:rsidRPr="005B6DAB">
        <w:rPr>
          <w:rFonts w:cs="Arial"/>
          <w:sz w:val="16"/>
          <w:szCs w:val="16"/>
          <w:lang w:val="cs-CZ"/>
        </w:rPr>
        <w:t>wireless</w:t>
      </w:r>
      <w:proofErr w:type="spellEnd"/>
      <w:r w:rsidRPr="005B6DAB">
        <w:rPr>
          <w:rFonts w:cs="Arial"/>
          <w:sz w:val="16"/>
          <w:szCs w:val="16"/>
          <w:lang w:val="cs-CZ"/>
        </w:rPr>
        <w:t xml:space="preserve"> </w:t>
      </w:r>
      <w:proofErr w:type="spellStart"/>
      <w:r w:rsidRPr="005B6DAB">
        <w:rPr>
          <w:rFonts w:cs="Arial"/>
          <w:sz w:val="16"/>
          <w:szCs w:val="16"/>
          <w:lang w:val="cs-CZ"/>
        </w:rPr>
        <w:t>networks</w:t>
      </w:r>
      <w:proofErr w:type="spellEnd"/>
      <w:r w:rsidRPr="005B6DAB">
        <w:rPr>
          <w:rFonts w:cs="Arial"/>
          <w:sz w:val="16"/>
          <w:szCs w:val="16"/>
          <w:lang w:val="cs-CZ"/>
        </w:rPr>
        <w:t xml:space="preserve"> ze dne 16. června 2011, str. 18; dostupné z: </w:t>
      </w:r>
      <w:r w:rsidRPr="00F46F24">
        <w:rPr>
          <w:rFonts w:cs="Arial"/>
          <w:sz w:val="16"/>
          <w:szCs w:val="16"/>
          <w:lang w:val="cs-CZ"/>
        </w:rPr>
        <w:t>http://rspg-spectrum.eu/_documents/documents/meeting/rspg25/rspg11-374_final_joint_rspg_berec_report.pdf</w:t>
      </w:r>
      <w:r>
        <w:rPr>
          <w:rFonts w:cs="Arial"/>
          <w:sz w:val="16"/>
          <w:szCs w:val="16"/>
          <w:lang w:val="cs-CZ"/>
        </w:rPr>
        <w:t>.</w:t>
      </w:r>
    </w:p>
  </w:footnote>
  <w:footnote w:id="130">
    <w:p w14:paraId="24465EFB" w14:textId="77777777" w:rsidR="00273E54" w:rsidRPr="005B6DAB" w:rsidRDefault="00273E54" w:rsidP="00A163E1">
      <w:pPr>
        <w:pStyle w:val="Textpoznpodarou"/>
        <w:spacing w:before="0" w:after="0" w:line="276" w:lineRule="auto"/>
        <w:jc w:val="left"/>
        <w:rPr>
          <w:rFonts w:cs="Arial"/>
          <w:iCs/>
          <w:color w:val="000000"/>
          <w:sz w:val="16"/>
          <w:szCs w:val="16"/>
          <w:shd w:val="clear" w:color="auto" w:fill="FFFFFF"/>
          <w:lang w:val="cs-CZ"/>
        </w:rPr>
      </w:pPr>
      <w:r w:rsidRPr="005B6DAB">
        <w:rPr>
          <w:rStyle w:val="Znakapoznpodarou"/>
          <w:rFonts w:cs="Arial"/>
          <w:sz w:val="16"/>
          <w:szCs w:val="16"/>
          <w:lang w:val="cs-CZ"/>
        </w:rPr>
        <w:footnoteRef/>
      </w:r>
      <w:r w:rsidRPr="005B6DAB">
        <w:rPr>
          <w:rFonts w:cs="Arial"/>
          <w:sz w:val="16"/>
          <w:szCs w:val="16"/>
          <w:lang w:val="cs-CZ"/>
        </w:rPr>
        <w:t xml:space="preserve"> “</w:t>
      </w:r>
      <w:proofErr w:type="spellStart"/>
      <w:r w:rsidRPr="005B6DAB">
        <w:rPr>
          <w:rFonts w:cs="Arial"/>
          <w:i/>
          <w:iCs/>
          <w:color w:val="000000"/>
          <w:sz w:val="16"/>
          <w:szCs w:val="16"/>
          <w:shd w:val="clear" w:color="auto" w:fill="FFFFFF"/>
          <w:lang w:val="cs-CZ"/>
        </w:rPr>
        <w:t>However</w:t>
      </w:r>
      <w:proofErr w:type="spellEnd"/>
      <w:r w:rsidRPr="005B6DAB">
        <w:rPr>
          <w:rFonts w:cs="Arial"/>
          <w:i/>
          <w:iCs/>
          <w:color w:val="000000"/>
          <w:sz w:val="16"/>
          <w:szCs w:val="16"/>
          <w:shd w:val="clear" w:color="auto" w:fill="FFFFFF"/>
          <w:lang w:val="cs-CZ"/>
        </w:rPr>
        <w:t xml:space="preserve">, </w:t>
      </w:r>
      <w:proofErr w:type="spellStart"/>
      <w:r w:rsidRPr="005B6DAB">
        <w:rPr>
          <w:rFonts w:cs="Arial"/>
          <w:i/>
          <w:iCs/>
          <w:color w:val="000000"/>
          <w:sz w:val="16"/>
          <w:szCs w:val="16"/>
          <w:shd w:val="clear" w:color="auto" w:fill="FFFFFF"/>
          <w:lang w:val="cs-CZ"/>
        </w:rPr>
        <w:t>some</w:t>
      </w:r>
      <w:proofErr w:type="spellEnd"/>
      <w:r w:rsidRPr="005B6DAB">
        <w:rPr>
          <w:rFonts w:cs="Arial"/>
          <w:i/>
          <w:iCs/>
          <w:color w:val="000000"/>
          <w:sz w:val="16"/>
          <w:szCs w:val="16"/>
          <w:shd w:val="clear" w:color="auto" w:fill="FFFFFF"/>
          <w:lang w:val="cs-CZ"/>
        </w:rPr>
        <w:t xml:space="preserve"> </w:t>
      </w:r>
      <w:proofErr w:type="spellStart"/>
      <w:r w:rsidRPr="005B6DAB">
        <w:rPr>
          <w:rFonts w:cs="Arial"/>
          <w:i/>
          <w:iCs/>
          <w:color w:val="000000"/>
          <w:sz w:val="16"/>
          <w:szCs w:val="16"/>
          <w:shd w:val="clear" w:color="auto" w:fill="FFFFFF"/>
          <w:lang w:val="cs-CZ"/>
        </w:rPr>
        <w:t>infrastructure</w:t>
      </w:r>
      <w:proofErr w:type="spellEnd"/>
      <w:r w:rsidRPr="005B6DAB">
        <w:rPr>
          <w:rFonts w:cs="Arial"/>
          <w:i/>
          <w:iCs/>
          <w:color w:val="000000"/>
          <w:sz w:val="16"/>
          <w:szCs w:val="16"/>
          <w:shd w:val="clear" w:color="auto" w:fill="FFFFFF"/>
          <w:lang w:val="cs-CZ"/>
        </w:rPr>
        <w:t xml:space="preserve"> </w:t>
      </w:r>
      <w:proofErr w:type="spellStart"/>
      <w:r w:rsidRPr="005B6DAB">
        <w:rPr>
          <w:rFonts w:cs="Arial"/>
          <w:i/>
          <w:iCs/>
          <w:color w:val="000000"/>
          <w:sz w:val="16"/>
          <w:szCs w:val="16"/>
          <w:shd w:val="clear" w:color="auto" w:fill="FFFFFF"/>
          <w:lang w:val="cs-CZ"/>
        </w:rPr>
        <w:t>sharing</w:t>
      </w:r>
      <w:proofErr w:type="spellEnd"/>
      <w:r w:rsidRPr="005B6DAB">
        <w:rPr>
          <w:rFonts w:cs="Arial"/>
          <w:i/>
          <w:iCs/>
          <w:color w:val="000000"/>
          <w:sz w:val="16"/>
          <w:szCs w:val="16"/>
          <w:shd w:val="clear" w:color="auto" w:fill="FFFFFF"/>
          <w:lang w:val="cs-CZ"/>
        </w:rPr>
        <w:t xml:space="preserve"> </w:t>
      </w:r>
      <w:proofErr w:type="spellStart"/>
      <w:r w:rsidRPr="005B6DAB">
        <w:rPr>
          <w:rFonts w:cs="Arial"/>
          <w:i/>
          <w:iCs/>
          <w:color w:val="000000"/>
          <w:sz w:val="16"/>
          <w:szCs w:val="16"/>
          <w:shd w:val="clear" w:color="auto" w:fill="FFFFFF"/>
          <w:lang w:val="cs-CZ"/>
        </w:rPr>
        <w:t>might</w:t>
      </w:r>
      <w:proofErr w:type="spellEnd"/>
      <w:r w:rsidRPr="005B6DAB">
        <w:rPr>
          <w:rFonts w:cs="Arial"/>
          <w:i/>
          <w:iCs/>
          <w:color w:val="000000"/>
          <w:sz w:val="16"/>
          <w:szCs w:val="16"/>
          <w:shd w:val="clear" w:color="auto" w:fill="FFFFFF"/>
          <w:lang w:val="cs-CZ"/>
        </w:rPr>
        <w:t xml:space="preserve"> </w:t>
      </w:r>
      <w:proofErr w:type="spellStart"/>
      <w:r w:rsidRPr="005B6DAB">
        <w:rPr>
          <w:rFonts w:cs="Arial"/>
          <w:i/>
          <w:iCs/>
          <w:color w:val="000000"/>
          <w:sz w:val="16"/>
          <w:szCs w:val="16"/>
          <w:shd w:val="clear" w:color="auto" w:fill="FFFFFF"/>
          <w:lang w:val="cs-CZ"/>
        </w:rPr>
        <w:t>mean</w:t>
      </w:r>
      <w:proofErr w:type="spellEnd"/>
      <w:r w:rsidRPr="005B6DAB">
        <w:rPr>
          <w:rFonts w:cs="Arial"/>
          <w:i/>
          <w:iCs/>
          <w:color w:val="000000"/>
          <w:sz w:val="16"/>
          <w:szCs w:val="16"/>
          <w:shd w:val="clear" w:color="auto" w:fill="FFFFFF"/>
          <w:lang w:val="cs-CZ"/>
        </w:rPr>
        <w:t xml:space="preserve"> </w:t>
      </w:r>
      <w:proofErr w:type="spellStart"/>
      <w:r w:rsidRPr="005B6DAB">
        <w:rPr>
          <w:rFonts w:cs="Arial"/>
          <w:i/>
          <w:iCs/>
          <w:color w:val="000000"/>
          <w:sz w:val="16"/>
          <w:szCs w:val="16"/>
          <w:shd w:val="clear" w:color="auto" w:fill="FFFFFF"/>
          <w:lang w:val="cs-CZ"/>
        </w:rPr>
        <w:t>less</w:t>
      </w:r>
      <w:proofErr w:type="spellEnd"/>
      <w:r w:rsidRPr="005B6DAB">
        <w:rPr>
          <w:rFonts w:cs="Arial"/>
          <w:i/>
          <w:iCs/>
          <w:color w:val="000000"/>
          <w:sz w:val="16"/>
          <w:szCs w:val="16"/>
          <w:shd w:val="clear" w:color="auto" w:fill="FFFFFF"/>
          <w:lang w:val="cs-CZ"/>
        </w:rPr>
        <w:t xml:space="preserve"> </w:t>
      </w:r>
      <w:proofErr w:type="spellStart"/>
      <w:r w:rsidRPr="005B6DAB">
        <w:rPr>
          <w:rFonts w:cs="Arial"/>
          <w:i/>
          <w:iCs/>
          <w:color w:val="000000"/>
          <w:sz w:val="16"/>
          <w:szCs w:val="16"/>
          <w:shd w:val="clear" w:color="auto" w:fill="FFFFFF"/>
          <w:lang w:val="cs-CZ"/>
        </w:rPr>
        <w:t>competition</w:t>
      </w:r>
      <w:proofErr w:type="spellEnd"/>
      <w:r w:rsidRPr="005B6DAB">
        <w:rPr>
          <w:rFonts w:cs="Arial"/>
          <w:i/>
          <w:iCs/>
          <w:color w:val="000000"/>
          <w:sz w:val="16"/>
          <w:szCs w:val="16"/>
          <w:shd w:val="clear" w:color="auto" w:fill="FFFFFF"/>
          <w:lang w:val="cs-CZ"/>
        </w:rPr>
        <w:t xml:space="preserve"> on </w:t>
      </w:r>
      <w:proofErr w:type="spellStart"/>
      <w:r w:rsidRPr="005B6DAB">
        <w:rPr>
          <w:rFonts w:cs="Arial"/>
          <w:i/>
          <w:iCs/>
          <w:color w:val="000000"/>
          <w:sz w:val="16"/>
          <w:szCs w:val="16"/>
          <w:shd w:val="clear" w:color="auto" w:fill="FFFFFF"/>
          <w:lang w:val="cs-CZ"/>
        </w:rPr>
        <w:t>aspects</w:t>
      </w:r>
      <w:proofErr w:type="spellEnd"/>
      <w:r w:rsidRPr="005B6DAB">
        <w:rPr>
          <w:rFonts w:cs="Arial"/>
          <w:i/>
          <w:iCs/>
          <w:color w:val="000000"/>
          <w:sz w:val="16"/>
          <w:szCs w:val="16"/>
          <w:shd w:val="clear" w:color="auto" w:fill="FFFFFF"/>
          <w:lang w:val="cs-CZ"/>
        </w:rPr>
        <w:t xml:space="preserve"> such as network </w:t>
      </w:r>
      <w:proofErr w:type="spellStart"/>
      <w:r w:rsidRPr="005B6DAB">
        <w:rPr>
          <w:rFonts w:cs="Arial"/>
          <w:i/>
          <w:iCs/>
          <w:color w:val="000000"/>
          <w:sz w:val="16"/>
          <w:szCs w:val="16"/>
          <w:shd w:val="clear" w:color="auto" w:fill="FFFFFF"/>
          <w:lang w:val="cs-CZ"/>
        </w:rPr>
        <w:t>coverage</w:t>
      </w:r>
      <w:proofErr w:type="spellEnd"/>
      <w:r w:rsidRPr="005B6DAB">
        <w:rPr>
          <w:rFonts w:cs="Arial"/>
          <w:i/>
          <w:iCs/>
          <w:color w:val="000000"/>
          <w:sz w:val="16"/>
          <w:szCs w:val="16"/>
          <w:shd w:val="clear" w:color="auto" w:fill="FFFFFF"/>
          <w:lang w:val="cs-CZ"/>
        </w:rPr>
        <w:t xml:space="preserve"> </w:t>
      </w:r>
      <w:proofErr w:type="spellStart"/>
      <w:r w:rsidRPr="005B6DAB">
        <w:rPr>
          <w:rFonts w:cs="Arial"/>
          <w:i/>
          <w:iCs/>
          <w:color w:val="000000"/>
          <w:sz w:val="16"/>
          <w:szCs w:val="16"/>
          <w:shd w:val="clear" w:color="auto" w:fill="FFFFFF"/>
          <w:lang w:val="cs-CZ"/>
        </w:rPr>
        <w:t>or</w:t>
      </w:r>
      <w:proofErr w:type="spellEnd"/>
      <w:r w:rsidRPr="005B6DAB">
        <w:rPr>
          <w:rFonts w:cs="Arial"/>
          <w:i/>
          <w:iCs/>
          <w:color w:val="000000"/>
          <w:sz w:val="16"/>
          <w:szCs w:val="16"/>
          <w:shd w:val="clear" w:color="auto" w:fill="FFFFFF"/>
          <w:lang w:val="cs-CZ"/>
        </w:rPr>
        <w:t xml:space="preserve"> </w:t>
      </w:r>
      <w:proofErr w:type="spellStart"/>
      <w:r w:rsidRPr="005B6DAB">
        <w:rPr>
          <w:rFonts w:cs="Arial"/>
          <w:i/>
          <w:iCs/>
          <w:color w:val="000000"/>
          <w:sz w:val="16"/>
          <w:szCs w:val="16"/>
          <w:shd w:val="clear" w:color="auto" w:fill="FFFFFF"/>
          <w:lang w:val="cs-CZ"/>
        </w:rPr>
        <w:t>quality</w:t>
      </w:r>
      <w:proofErr w:type="spellEnd"/>
      <w:r w:rsidRPr="005B6DAB">
        <w:rPr>
          <w:rFonts w:cs="Arial"/>
          <w:i/>
          <w:iCs/>
          <w:color w:val="000000"/>
          <w:sz w:val="16"/>
          <w:szCs w:val="16"/>
          <w:shd w:val="clear" w:color="auto" w:fill="FFFFFF"/>
          <w:lang w:val="cs-CZ"/>
        </w:rPr>
        <w:t xml:space="preserve">, and </w:t>
      </w:r>
      <w:proofErr w:type="spellStart"/>
      <w:r w:rsidRPr="005B6DAB">
        <w:rPr>
          <w:rFonts w:cs="Arial"/>
          <w:i/>
          <w:iCs/>
          <w:color w:val="000000"/>
          <w:sz w:val="16"/>
          <w:szCs w:val="16"/>
          <w:shd w:val="clear" w:color="auto" w:fill="FFFFFF"/>
          <w:lang w:val="cs-CZ"/>
        </w:rPr>
        <w:t>the</w:t>
      </w:r>
      <w:proofErr w:type="spellEnd"/>
      <w:r w:rsidRPr="005B6DAB">
        <w:rPr>
          <w:rFonts w:cs="Arial"/>
          <w:i/>
          <w:iCs/>
          <w:color w:val="000000"/>
          <w:sz w:val="16"/>
          <w:szCs w:val="16"/>
          <w:shd w:val="clear" w:color="auto" w:fill="FFFFFF"/>
          <w:lang w:val="cs-CZ"/>
        </w:rPr>
        <w:t xml:space="preserve"> absence </w:t>
      </w:r>
      <w:proofErr w:type="spellStart"/>
      <w:r w:rsidRPr="005B6DAB">
        <w:rPr>
          <w:rFonts w:cs="Arial"/>
          <w:i/>
          <w:iCs/>
          <w:color w:val="000000"/>
          <w:sz w:val="16"/>
          <w:szCs w:val="16"/>
          <w:shd w:val="clear" w:color="auto" w:fill="FFFFFF"/>
          <w:lang w:val="cs-CZ"/>
        </w:rPr>
        <w:t>of</w:t>
      </w:r>
      <w:proofErr w:type="spellEnd"/>
      <w:r w:rsidRPr="005B6DAB">
        <w:rPr>
          <w:rFonts w:cs="Arial"/>
          <w:i/>
          <w:iCs/>
          <w:color w:val="000000"/>
          <w:sz w:val="16"/>
          <w:szCs w:val="16"/>
          <w:shd w:val="clear" w:color="auto" w:fill="FFFFFF"/>
          <w:lang w:val="cs-CZ"/>
        </w:rPr>
        <w:t xml:space="preserve"> </w:t>
      </w:r>
      <w:proofErr w:type="spellStart"/>
      <w:r w:rsidRPr="005B6DAB">
        <w:rPr>
          <w:rFonts w:cs="Arial"/>
          <w:i/>
          <w:iCs/>
          <w:color w:val="000000"/>
          <w:sz w:val="16"/>
          <w:szCs w:val="16"/>
          <w:shd w:val="clear" w:color="auto" w:fill="FFFFFF"/>
          <w:lang w:val="cs-CZ"/>
        </w:rPr>
        <w:t>competition</w:t>
      </w:r>
      <w:proofErr w:type="spellEnd"/>
      <w:r w:rsidRPr="005B6DAB">
        <w:rPr>
          <w:rFonts w:cs="Arial"/>
          <w:i/>
          <w:iCs/>
          <w:color w:val="000000"/>
          <w:sz w:val="16"/>
          <w:szCs w:val="16"/>
          <w:shd w:val="clear" w:color="auto" w:fill="FFFFFF"/>
          <w:lang w:val="cs-CZ"/>
        </w:rPr>
        <w:t xml:space="preserve"> in these </w:t>
      </w:r>
      <w:proofErr w:type="spellStart"/>
      <w:r w:rsidRPr="005B6DAB">
        <w:rPr>
          <w:rFonts w:cs="Arial"/>
          <w:i/>
          <w:iCs/>
          <w:color w:val="000000"/>
          <w:sz w:val="16"/>
          <w:szCs w:val="16"/>
          <w:shd w:val="clear" w:color="auto" w:fill="FFFFFF"/>
          <w:lang w:val="cs-CZ"/>
        </w:rPr>
        <w:t>areas</w:t>
      </w:r>
      <w:proofErr w:type="spellEnd"/>
      <w:r w:rsidRPr="005B6DAB">
        <w:rPr>
          <w:rFonts w:cs="Arial"/>
          <w:i/>
          <w:iCs/>
          <w:color w:val="000000"/>
          <w:sz w:val="16"/>
          <w:szCs w:val="16"/>
          <w:shd w:val="clear" w:color="auto" w:fill="FFFFFF"/>
          <w:lang w:val="cs-CZ"/>
        </w:rPr>
        <w:t xml:space="preserve"> </w:t>
      </w:r>
      <w:proofErr w:type="spellStart"/>
      <w:r w:rsidRPr="005B6DAB">
        <w:rPr>
          <w:rFonts w:cs="Arial"/>
          <w:i/>
          <w:iCs/>
          <w:color w:val="000000"/>
          <w:sz w:val="16"/>
          <w:szCs w:val="16"/>
          <w:shd w:val="clear" w:color="auto" w:fill="FFFFFF"/>
          <w:lang w:val="cs-CZ"/>
        </w:rPr>
        <w:t>might</w:t>
      </w:r>
      <w:proofErr w:type="spellEnd"/>
      <w:r w:rsidRPr="005B6DAB">
        <w:rPr>
          <w:rFonts w:cs="Arial"/>
          <w:i/>
          <w:iCs/>
          <w:color w:val="000000"/>
          <w:sz w:val="16"/>
          <w:szCs w:val="16"/>
          <w:shd w:val="clear" w:color="auto" w:fill="FFFFFF"/>
          <w:lang w:val="cs-CZ"/>
        </w:rPr>
        <w:t xml:space="preserve"> </w:t>
      </w:r>
      <w:proofErr w:type="spellStart"/>
      <w:r w:rsidRPr="005B6DAB">
        <w:rPr>
          <w:rFonts w:cs="Arial"/>
          <w:i/>
          <w:iCs/>
          <w:color w:val="000000"/>
          <w:sz w:val="16"/>
          <w:szCs w:val="16"/>
          <w:shd w:val="clear" w:color="auto" w:fill="FFFFFF"/>
          <w:lang w:val="cs-CZ"/>
        </w:rPr>
        <w:t>mean</w:t>
      </w:r>
      <w:proofErr w:type="spellEnd"/>
      <w:r w:rsidRPr="005B6DAB">
        <w:rPr>
          <w:rFonts w:cs="Arial"/>
          <w:i/>
          <w:iCs/>
          <w:color w:val="000000"/>
          <w:sz w:val="16"/>
          <w:szCs w:val="16"/>
          <w:shd w:val="clear" w:color="auto" w:fill="FFFFFF"/>
          <w:lang w:val="cs-CZ"/>
        </w:rPr>
        <w:t xml:space="preserve"> </w:t>
      </w:r>
      <w:proofErr w:type="spellStart"/>
      <w:r w:rsidRPr="005B6DAB">
        <w:rPr>
          <w:rFonts w:cs="Arial"/>
          <w:i/>
          <w:iCs/>
          <w:color w:val="000000"/>
          <w:sz w:val="16"/>
          <w:szCs w:val="16"/>
          <w:shd w:val="clear" w:color="auto" w:fill="FFFFFF"/>
          <w:lang w:val="cs-CZ"/>
        </w:rPr>
        <w:t>that</w:t>
      </w:r>
      <w:proofErr w:type="spellEnd"/>
      <w:r w:rsidRPr="005B6DAB">
        <w:rPr>
          <w:rFonts w:cs="Arial"/>
          <w:i/>
          <w:iCs/>
          <w:color w:val="000000"/>
          <w:sz w:val="16"/>
          <w:szCs w:val="16"/>
          <w:shd w:val="clear" w:color="auto" w:fill="FFFFFF"/>
          <w:lang w:val="cs-CZ"/>
        </w:rPr>
        <w:t xml:space="preserve"> </w:t>
      </w:r>
      <w:proofErr w:type="spellStart"/>
      <w:r w:rsidRPr="005B6DAB">
        <w:rPr>
          <w:rFonts w:cs="Arial"/>
          <w:i/>
          <w:iCs/>
          <w:color w:val="000000"/>
          <w:sz w:val="16"/>
          <w:szCs w:val="16"/>
          <w:shd w:val="clear" w:color="auto" w:fill="FFFFFF"/>
          <w:lang w:val="cs-CZ"/>
        </w:rPr>
        <w:t>coverage</w:t>
      </w:r>
      <w:proofErr w:type="spellEnd"/>
      <w:r w:rsidRPr="005B6DAB">
        <w:rPr>
          <w:rFonts w:cs="Arial"/>
          <w:i/>
          <w:iCs/>
          <w:color w:val="000000"/>
          <w:sz w:val="16"/>
          <w:szCs w:val="16"/>
          <w:shd w:val="clear" w:color="auto" w:fill="FFFFFF"/>
          <w:lang w:val="cs-CZ"/>
        </w:rPr>
        <w:t xml:space="preserve"> </w:t>
      </w:r>
      <w:proofErr w:type="spellStart"/>
      <w:r w:rsidRPr="005B6DAB">
        <w:rPr>
          <w:rFonts w:cs="Arial"/>
          <w:i/>
          <w:iCs/>
          <w:color w:val="000000"/>
          <w:sz w:val="16"/>
          <w:szCs w:val="16"/>
          <w:shd w:val="clear" w:color="auto" w:fill="FFFFFF"/>
          <w:lang w:val="cs-CZ"/>
        </w:rPr>
        <w:t>or</w:t>
      </w:r>
      <w:proofErr w:type="spellEnd"/>
      <w:r w:rsidRPr="005B6DAB">
        <w:rPr>
          <w:rFonts w:cs="Arial"/>
          <w:i/>
          <w:iCs/>
          <w:color w:val="000000"/>
          <w:sz w:val="16"/>
          <w:szCs w:val="16"/>
          <w:shd w:val="clear" w:color="auto" w:fill="FFFFFF"/>
          <w:lang w:val="cs-CZ"/>
        </w:rPr>
        <w:t xml:space="preserve"> </w:t>
      </w:r>
      <w:proofErr w:type="spellStart"/>
      <w:r w:rsidRPr="005B6DAB">
        <w:rPr>
          <w:rFonts w:cs="Arial"/>
          <w:i/>
          <w:iCs/>
          <w:color w:val="000000"/>
          <w:sz w:val="16"/>
          <w:szCs w:val="16"/>
          <w:shd w:val="clear" w:color="auto" w:fill="FFFFFF"/>
          <w:lang w:val="cs-CZ"/>
        </w:rPr>
        <w:t>quality</w:t>
      </w:r>
      <w:proofErr w:type="spellEnd"/>
      <w:r w:rsidRPr="005B6DAB">
        <w:rPr>
          <w:rFonts w:cs="Arial"/>
          <w:i/>
          <w:iCs/>
          <w:color w:val="000000"/>
          <w:sz w:val="16"/>
          <w:szCs w:val="16"/>
          <w:shd w:val="clear" w:color="auto" w:fill="FFFFFF"/>
          <w:lang w:val="cs-CZ"/>
        </w:rPr>
        <w:t xml:space="preserve"> </w:t>
      </w:r>
      <w:proofErr w:type="spellStart"/>
      <w:r w:rsidRPr="005B6DAB">
        <w:rPr>
          <w:rFonts w:cs="Arial"/>
          <w:i/>
          <w:iCs/>
          <w:color w:val="000000"/>
          <w:sz w:val="16"/>
          <w:szCs w:val="16"/>
          <w:shd w:val="clear" w:color="auto" w:fill="FFFFFF"/>
          <w:lang w:val="cs-CZ"/>
        </w:rPr>
        <w:t>was</w:t>
      </w:r>
      <w:proofErr w:type="spellEnd"/>
      <w:r w:rsidRPr="005B6DAB">
        <w:rPr>
          <w:rFonts w:cs="Arial"/>
          <w:i/>
          <w:iCs/>
          <w:color w:val="000000"/>
          <w:sz w:val="16"/>
          <w:szCs w:val="16"/>
          <w:shd w:val="clear" w:color="auto" w:fill="FFFFFF"/>
          <w:lang w:val="cs-CZ"/>
        </w:rPr>
        <w:t xml:space="preserve"> </w:t>
      </w:r>
      <w:proofErr w:type="spellStart"/>
      <w:r w:rsidRPr="005B6DAB">
        <w:rPr>
          <w:rFonts w:cs="Arial"/>
          <w:i/>
          <w:iCs/>
          <w:color w:val="000000"/>
          <w:sz w:val="16"/>
          <w:szCs w:val="16"/>
          <w:shd w:val="clear" w:color="auto" w:fill="FFFFFF"/>
          <w:lang w:val="cs-CZ"/>
        </w:rPr>
        <w:t>poorer</w:t>
      </w:r>
      <w:proofErr w:type="spellEnd"/>
      <w:r w:rsidRPr="005B6DAB">
        <w:rPr>
          <w:rFonts w:cs="Arial"/>
          <w:i/>
          <w:iCs/>
          <w:color w:val="000000"/>
          <w:sz w:val="16"/>
          <w:szCs w:val="16"/>
          <w:shd w:val="clear" w:color="auto" w:fill="FFFFFF"/>
          <w:lang w:val="cs-CZ"/>
        </w:rPr>
        <w:t xml:space="preserve"> </w:t>
      </w:r>
      <w:proofErr w:type="spellStart"/>
      <w:r w:rsidRPr="005B6DAB">
        <w:rPr>
          <w:rFonts w:cs="Arial"/>
          <w:i/>
          <w:iCs/>
          <w:color w:val="000000"/>
          <w:sz w:val="16"/>
          <w:szCs w:val="16"/>
          <w:shd w:val="clear" w:color="auto" w:fill="FFFFFF"/>
          <w:lang w:val="cs-CZ"/>
        </w:rPr>
        <w:t>than</w:t>
      </w:r>
      <w:proofErr w:type="spellEnd"/>
      <w:r w:rsidRPr="005B6DAB">
        <w:rPr>
          <w:rFonts w:cs="Arial"/>
          <w:i/>
          <w:iCs/>
          <w:color w:val="000000"/>
          <w:sz w:val="16"/>
          <w:szCs w:val="16"/>
          <w:shd w:val="clear" w:color="auto" w:fill="FFFFFF"/>
          <w:lang w:val="cs-CZ"/>
        </w:rPr>
        <w:t xml:space="preserve"> </w:t>
      </w:r>
      <w:proofErr w:type="spellStart"/>
      <w:r w:rsidRPr="005B6DAB">
        <w:rPr>
          <w:rFonts w:cs="Arial"/>
          <w:i/>
          <w:iCs/>
          <w:color w:val="000000"/>
          <w:sz w:val="16"/>
          <w:szCs w:val="16"/>
          <w:shd w:val="clear" w:color="auto" w:fill="FFFFFF"/>
          <w:lang w:val="cs-CZ"/>
        </w:rPr>
        <w:t>it</w:t>
      </w:r>
      <w:proofErr w:type="spellEnd"/>
      <w:r w:rsidRPr="005B6DAB">
        <w:rPr>
          <w:rFonts w:cs="Arial"/>
          <w:i/>
          <w:iCs/>
          <w:color w:val="000000"/>
          <w:sz w:val="16"/>
          <w:szCs w:val="16"/>
          <w:shd w:val="clear" w:color="auto" w:fill="FFFFFF"/>
          <w:lang w:val="cs-CZ"/>
        </w:rPr>
        <w:t xml:space="preserve"> </w:t>
      </w:r>
      <w:proofErr w:type="spellStart"/>
      <w:r w:rsidRPr="005B6DAB">
        <w:rPr>
          <w:rFonts w:cs="Arial"/>
          <w:i/>
          <w:iCs/>
          <w:color w:val="000000"/>
          <w:sz w:val="16"/>
          <w:szCs w:val="16"/>
          <w:shd w:val="clear" w:color="auto" w:fill="FFFFFF"/>
          <w:lang w:val="cs-CZ"/>
        </w:rPr>
        <w:t>otherwise</w:t>
      </w:r>
      <w:proofErr w:type="spellEnd"/>
      <w:r w:rsidRPr="005B6DAB">
        <w:rPr>
          <w:rFonts w:cs="Arial"/>
          <w:i/>
          <w:iCs/>
          <w:color w:val="000000"/>
          <w:sz w:val="16"/>
          <w:szCs w:val="16"/>
          <w:shd w:val="clear" w:color="auto" w:fill="FFFFFF"/>
          <w:lang w:val="cs-CZ"/>
        </w:rPr>
        <w:t xml:space="preserve"> </w:t>
      </w:r>
      <w:proofErr w:type="spellStart"/>
      <w:r w:rsidRPr="005B6DAB">
        <w:rPr>
          <w:rFonts w:cs="Arial"/>
          <w:i/>
          <w:iCs/>
          <w:color w:val="000000"/>
          <w:sz w:val="16"/>
          <w:szCs w:val="16"/>
          <w:shd w:val="clear" w:color="auto" w:fill="FFFFFF"/>
          <w:lang w:val="cs-CZ"/>
        </w:rPr>
        <w:t>might</w:t>
      </w:r>
      <w:proofErr w:type="spellEnd"/>
      <w:r w:rsidRPr="005B6DAB">
        <w:rPr>
          <w:rFonts w:cs="Arial"/>
          <w:i/>
          <w:iCs/>
          <w:color w:val="000000"/>
          <w:sz w:val="16"/>
          <w:szCs w:val="16"/>
          <w:shd w:val="clear" w:color="auto" w:fill="FFFFFF"/>
          <w:lang w:val="cs-CZ"/>
        </w:rPr>
        <w:t xml:space="preserve"> </w:t>
      </w:r>
      <w:proofErr w:type="spellStart"/>
      <w:r w:rsidRPr="005B6DAB">
        <w:rPr>
          <w:rFonts w:cs="Arial"/>
          <w:i/>
          <w:iCs/>
          <w:color w:val="000000"/>
          <w:sz w:val="16"/>
          <w:szCs w:val="16"/>
          <w:shd w:val="clear" w:color="auto" w:fill="FFFFFF"/>
          <w:lang w:val="cs-CZ"/>
        </w:rPr>
        <w:t>be</w:t>
      </w:r>
      <w:proofErr w:type="spellEnd"/>
      <w:r w:rsidRPr="005B6DAB">
        <w:rPr>
          <w:rFonts w:cs="Arial"/>
          <w:i/>
          <w:iCs/>
          <w:color w:val="000000"/>
          <w:sz w:val="16"/>
          <w:szCs w:val="16"/>
          <w:shd w:val="clear" w:color="auto" w:fill="FFFFFF"/>
          <w:lang w:val="cs-CZ"/>
        </w:rPr>
        <w:t>.</w:t>
      </w:r>
      <w:r w:rsidRPr="005B6DAB">
        <w:rPr>
          <w:rFonts w:cs="Arial"/>
          <w:iCs/>
          <w:color w:val="000000"/>
          <w:sz w:val="16"/>
          <w:szCs w:val="16"/>
          <w:shd w:val="clear" w:color="auto" w:fill="FFFFFF"/>
          <w:lang w:val="cs-CZ"/>
        </w:rPr>
        <w:t>”</w:t>
      </w:r>
      <w:r w:rsidRPr="005B6DAB">
        <w:rPr>
          <w:rFonts w:cs="Arial"/>
          <w:i/>
          <w:iCs/>
          <w:color w:val="000000"/>
          <w:sz w:val="16"/>
          <w:szCs w:val="16"/>
          <w:shd w:val="clear" w:color="auto" w:fill="FFFFFF"/>
          <w:lang w:val="cs-CZ"/>
        </w:rPr>
        <w:t xml:space="preserve"> </w:t>
      </w:r>
      <w:r w:rsidRPr="005B6DAB">
        <w:rPr>
          <w:rFonts w:cs="Arial"/>
          <w:iCs/>
          <w:color w:val="000000"/>
          <w:sz w:val="16"/>
          <w:szCs w:val="16"/>
          <w:shd w:val="clear" w:color="auto" w:fill="FFFFFF"/>
          <w:lang w:val="cs-CZ"/>
        </w:rPr>
        <w:t xml:space="preserve">Viz </w:t>
      </w:r>
      <w:r>
        <w:rPr>
          <w:rFonts w:cs="Arial"/>
          <w:iCs/>
          <w:color w:val="000000"/>
          <w:sz w:val="16"/>
          <w:szCs w:val="16"/>
          <w:shd w:val="clear" w:color="auto" w:fill="FFFFFF"/>
          <w:lang w:val="cs-CZ"/>
        </w:rPr>
        <w:t>OFCOM</w:t>
      </w:r>
      <w:r w:rsidRPr="005B6DAB">
        <w:rPr>
          <w:rFonts w:cs="Arial"/>
          <w:iCs/>
          <w:color w:val="000000"/>
          <w:sz w:val="16"/>
          <w:szCs w:val="16"/>
          <w:shd w:val="clear" w:color="auto" w:fill="FFFFFF"/>
          <w:lang w:val="cs-CZ"/>
        </w:rPr>
        <w:t xml:space="preserve">: 3G Mobile </w:t>
      </w:r>
      <w:proofErr w:type="spellStart"/>
      <w:r w:rsidRPr="005B6DAB">
        <w:rPr>
          <w:rFonts w:cs="Arial"/>
          <w:iCs/>
          <w:color w:val="000000"/>
          <w:sz w:val="16"/>
          <w:szCs w:val="16"/>
          <w:shd w:val="clear" w:color="auto" w:fill="FFFFFF"/>
          <w:lang w:val="cs-CZ"/>
        </w:rPr>
        <w:t>Infrastructure</w:t>
      </w:r>
      <w:proofErr w:type="spellEnd"/>
      <w:r w:rsidRPr="005B6DAB">
        <w:rPr>
          <w:rFonts w:cs="Arial"/>
          <w:iCs/>
          <w:color w:val="000000"/>
          <w:sz w:val="16"/>
          <w:szCs w:val="16"/>
          <w:shd w:val="clear" w:color="auto" w:fill="FFFFFF"/>
          <w:lang w:val="cs-CZ"/>
        </w:rPr>
        <w:t xml:space="preserve"> </w:t>
      </w:r>
      <w:proofErr w:type="spellStart"/>
      <w:r w:rsidRPr="005B6DAB">
        <w:rPr>
          <w:rFonts w:cs="Arial"/>
          <w:iCs/>
          <w:color w:val="000000"/>
          <w:sz w:val="16"/>
          <w:szCs w:val="16"/>
          <w:shd w:val="clear" w:color="auto" w:fill="FFFFFF"/>
          <w:lang w:val="cs-CZ"/>
        </w:rPr>
        <w:t>Sharing</w:t>
      </w:r>
      <w:proofErr w:type="spellEnd"/>
      <w:r w:rsidRPr="005B6DAB">
        <w:rPr>
          <w:rFonts w:cs="Arial"/>
          <w:iCs/>
          <w:color w:val="000000"/>
          <w:sz w:val="16"/>
          <w:szCs w:val="16"/>
          <w:shd w:val="clear" w:color="auto" w:fill="FFFFFF"/>
          <w:lang w:val="cs-CZ"/>
        </w:rPr>
        <w:t xml:space="preserve"> in </w:t>
      </w:r>
      <w:proofErr w:type="spellStart"/>
      <w:r w:rsidRPr="005B6DAB">
        <w:rPr>
          <w:rFonts w:cs="Arial"/>
          <w:iCs/>
          <w:color w:val="000000"/>
          <w:sz w:val="16"/>
          <w:szCs w:val="16"/>
          <w:shd w:val="clear" w:color="auto" w:fill="FFFFFF"/>
          <w:lang w:val="cs-CZ"/>
        </w:rPr>
        <w:t>the</w:t>
      </w:r>
      <w:proofErr w:type="spellEnd"/>
      <w:r w:rsidRPr="005B6DAB">
        <w:rPr>
          <w:rFonts w:cs="Arial"/>
          <w:iCs/>
          <w:color w:val="000000"/>
          <w:sz w:val="16"/>
          <w:szCs w:val="16"/>
          <w:shd w:val="clear" w:color="auto" w:fill="FFFFFF"/>
          <w:lang w:val="cs-CZ"/>
        </w:rPr>
        <w:t xml:space="preserve"> UK - </w:t>
      </w:r>
      <w:proofErr w:type="spellStart"/>
      <w:r w:rsidRPr="005B6DAB">
        <w:rPr>
          <w:rFonts w:cs="Arial"/>
          <w:iCs/>
          <w:color w:val="000000"/>
          <w:sz w:val="16"/>
          <w:szCs w:val="16"/>
          <w:shd w:val="clear" w:color="auto" w:fill="FFFFFF"/>
          <w:lang w:val="cs-CZ"/>
        </w:rPr>
        <w:t>Note</w:t>
      </w:r>
      <w:proofErr w:type="spellEnd"/>
      <w:r w:rsidRPr="005B6DAB">
        <w:rPr>
          <w:rFonts w:cs="Arial"/>
          <w:iCs/>
          <w:color w:val="000000"/>
          <w:sz w:val="16"/>
          <w:szCs w:val="16"/>
          <w:shd w:val="clear" w:color="auto" w:fill="FFFFFF"/>
          <w:lang w:val="cs-CZ"/>
        </w:rPr>
        <w:t xml:space="preserve"> </w:t>
      </w:r>
      <w:proofErr w:type="spellStart"/>
      <w:r w:rsidRPr="005B6DAB">
        <w:rPr>
          <w:rFonts w:cs="Arial"/>
          <w:iCs/>
          <w:color w:val="000000"/>
          <w:sz w:val="16"/>
          <w:szCs w:val="16"/>
          <w:shd w:val="clear" w:color="auto" w:fill="FFFFFF"/>
          <w:lang w:val="cs-CZ"/>
        </w:rPr>
        <w:t>for</w:t>
      </w:r>
      <w:proofErr w:type="spellEnd"/>
      <w:r w:rsidRPr="005B6DAB">
        <w:rPr>
          <w:rFonts w:cs="Arial"/>
          <w:iCs/>
          <w:color w:val="000000"/>
          <w:sz w:val="16"/>
          <w:szCs w:val="16"/>
          <w:shd w:val="clear" w:color="auto" w:fill="FFFFFF"/>
          <w:lang w:val="cs-CZ"/>
        </w:rPr>
        <w:t xml:space="preserve"> </w:t>
      </w:r>
      <w:proofErr w:type="spellStart"/>
      <w:r w:rsidRPr="005B6DAB">
        <w:rPr>
          <w:rFonts w:cs="Arial"/>
          <w:iCs/>
          <w:color w:val="000000"/>
          <w:sz w:val="16"/>
          <w:szCs w:val="16"/>
          <w:shd w:val="clear" w:color="auto" w:fill="FFFFFF"/>
          <w:lang w:val="cs-CZ"/>
        </w:rPr>
        <w:t>information</w:t>
      </w:r>
      <w:proofErr w:type="spellEnd"/>
      <w:r w:rsidRPr="005B6DAB">
        <w:rPr>
          <w:rFonts w:cs="Arial"/>
          <w:iCs/>
          <w:color w:val="000000"/>
          <w:sz w:val="16"/>
          <w:szCs w:val="16"/>
          <w:shd w:val="clear" w:color="auto" w:fill="FFFFFF"/>
          <w:lang w:val="cs-CZ"/>
        </w:rPr>
        <w:t xml:space="preserve"> May 2001; dostupné z:</w:t>
      </w:r>
    </w:p>
    <w:p w14:paraId="3AB67D1B" w14:textId="77777777" w:rsidR="00273E54" w:rsidRPr="005B6DAB" w:rsidRDefault="00273E54" w:rsidP="00A163E1">
      <w:pPr>
        <w:pStyle w:val="Textpoznpodarou"/>
        <w:spacing w:before="0" w:after="0" w:line="276" w:lineRule="auto"/>
        <w:jc w:val="left"/>
        <w:rPr>
          <w:rFonts w:cs="Arial"/>
          <w:i/>
          <w:sz w:val="16"/>
          <w:szCs w:val="16"/>
          <w:lang w:val="cs-CZ"/>
        </w:rPr>
      </w:pPr>
      <w:r w:rsidRPr="00F46F24">
        <w:rPr>
          <w:rFonts w:cs="Arial"/>
          <w:sz w:val="16"/>
          <w:szCs w:val="16"/>
          <w:lang w:val="cs-CZ"/>
        </w:rPr>
        <w:t>http://www.ofcom.org.uk/static/archive/oftel/publications/mobile/infrashare0501.htm</w:t>
      </w:r>
      <w:r>
        <w:rPr>
          <w:rFonts w:cs="Arial"/>
          <w:sz w:val="16"/>
          <w:szCs w:val="16"/>
          <w:lang w:val="cs-CZ"/>
        </w:rPr>
        <w:t>.</w:t>
      </w:r>
    </w:p>
  </w:footnote>
  <w:footnote w:id="131">
    <w:p w14:paraId="05EA37F3"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Fonts w:cs="Arial"/>
          <w:sz w:val="16"/>
          <w:szCs w:val="16"/>
          <w:vertAlign w:val="superscript"/>
          <w:lang w:val="cs-CZ"/>
        </w:rPr>
        <w:footnoteRef/>
      </w:r>
      <w:r w:rsidRPr="005B6DAB">
        <w:rPr>
          <w:rFonts w:cs="Arial"/>
          <w:sz w:val="16"/>
          <w:szCs w:val="16"/>
          <w:vertAlign w:val="superscript"/>
          <w:lang w:val="cs-CZ"/>
        </w:rPr>
        <w:t xml:space="preserve"> </w:t>
      </w:r>
      <w:r w:rsidRPr="005B6DAB">
        <w:rPr>
          <w:rFonts w:cs="Arial"/>
          <w:sz w:val="16"/>
          <w:szCs w:val="16"/>
          <w:lang w:val="cs-CZ"/>
        </w:rPr>
        <w:t xml:space="preserve">Viz sdělení </w:t>
      </w:r>
      <w:proofErr w:type="spellStart"/>
      <w:r w:rsidRPr="005B6DAB">
        <w:rPr>
          <w:rFonts w:cs="Arial"/>
          <w:sz w:val="16"/>
          <w:szCs w:val="16"/>
          <w:lang w:val="cs-CZ"/>
        </w:rPr>
        <w:t>Danish</w:t>
      </w:r>
      <w:proofErr w:type="spellEnd"/>
      <w:r w:rsidRPr="005B6DAB">
        <w:rPr>
          <w:rFonts w:cs="Arial"/>
          <w:sz w:val="16"/>
          <w:szCs w:val="16"/>
          <w:lang w:val="cs-CZ"/>
        </w:rPr>
        <w:t xml:space="preserve"> </w:t>
      </w:r>
      <w:proofErr w:type="spellStart"/>
      <w:r w:rsidRPr="005B6DAB">
        <w:rPr>
          <w:rFonts w:cs="Arial"/>
          <w:sz w:val="16"/>
          <w:szCs w:val="16"/>
          <w:lang w:val="cs-CZ"/>
        </w:rPr>
        <w:t>Competition</w:t>
      </w:r>
      <w:proofErr w:type="spellEnd"/>
      <w:r w:rsidRPr="005B6DAB">
        <w:rPr>
          <w:rFonts w:cs="Arial"/>
          <w:sz w:val="16"/>
          <w:szCs w:val="16"/>
          <w:lang w:val="cs-CZ"/>
        </w:rPr>
        <w:t xml:space="preserve"> and </w:t>
      </w:r>
      <w:proofErr w:type="spellStart"/>
      <w:r w:rsidRPr="005B6DAB">
        <w:rPr>
          <w:rFonts w:cs="Arial"/>
          <w:sz w:val="16"/>
          <w:szCs w:val="16"/>
          <w:lang w:val="cs-CZ"/>
        </w:rPr>
        <w:t>Consumer</w:t>
      </w:r>
      <w:proofErr w:type="spellEnd"/>
      <w:r w:rsidRPr="005B6DAB">
        <w:rPr>
          <w:rFonts w:cs="Arial"/>
          <w:sz w:val="16"/>
          <w:szCs w:val="16"/>
          <w:lang w:val="cs-CZ"/>
        </w:rPr>
        <w:t xml:space="preserve"> </w:t>
      </w:r>
      <w:proofErr w:type="spellStart"/>
      <w:r w:rsidRPr="005B6DAB">
        <w:rPr>
          <w:rFonts w:cs="Arial"/>
          <w:sz w:val="16"/>
          <w:szCs w:val="16"/>
          <w:lang w:val="cs-CZ"/>
        </w:rPr>
        <w:t>Authority</w:t>
      </w:r>
      <w:proofErr w:type="spellEnd"/>
      <w:r w:rsidRPr="005B6DAB">
        <w:rPr>
          <w:rFonts w:cs="Arial"/>
          <w:sz w:val="16"/>
          <w:szCs w:val="16"/>
          <w:lang w:val="cs-CZ"/>
        </w:rPr>
        <w:t xml:space="preserve"> ze dne 29. února 2013: </w:t>
      </w:r>
      <w:proofErr w:type="spellStart"/>
      <w:r w:rsidRPr="005B6DAB">
        <w:rPr>
          <w:rFonts w:cs="Arial"/>
          <w:sz w:val="16"/>
          <w:szCs w:val="16"/>
          <w:lang w:val="cs-CZ"/>
        </w:rPr>
        <w:t>Radio</w:t>
      </w:r>
      <w:proofErr w:type="spellEnd"/>
      <w:r w:rsidRPr="005B6DAB">
        <w:rPr>
          <w:rFonts w:cs="Arial"/>
          <w:sz w:val="16"/>
          <w:szCs w:val="16"/>
          <w:lang w:val="cs-CZ"/>
        </w:rPr>
        <w:t xml:space="preserve"> Access Network </w:t>
      </w:r>
      <w:proofErr w:type="spellStart"/>
      <w:r w:rsidRPr="005B6DAB">
        <w:rPr>
          <w:rFonts w:cs="Arial"/>
          <w:sz w:val="16"/>
          <w:szCs w:val="16"/>
          <w:lang w:val="cs-CZ"/>
        </w:rPr>
        <w:t>sharing</w:t>
      </w:r>
      <w:proofErr w:type="spellEnd"/>
      <w:r w:rsidRPr="005B6DAB">
        <w:rPr>
          <w:rFonts w:cs="Arial"/>
          <w:sz w:val="16"/>
          <w:szCs w:val="16"/>
          <w:lang w:val="cs-CZ"/>
        </w:rPr>
        <w:t xml:space="preserve"> </w:t>
      </w:r>
      <w:proofErr w:type="spellStart"/>
      <w:r w:rsidRPr="005B6DAB">
        <w:rPr>
          <w:rFonts w:cs="Arial"/>
          <w:sz w:val="16"/>
          <w:szCs w:val="16"/>
          <w:lang w:val="cs-CZ"/>
        </w:rPr>
        <w:t>agreement</w:t>
      </w:r>
      <w:proofErr w:type="spellEnd"/>
      <w:r w:rsidRPr="005B6DAB">
        <w:rPr>
          <w:rFonts w:cs="Arial"/>
          <w:sz w:val="16"/>
          <w:szCs w:val="16"/>
          <w:lang w:val="cs-CZ"/>
        </w:rPr>
        <w:t xml:space="preserve"> </w:t>
      </w:r>
      <w:proofErr w:type="spellStart"/>
      <w:r w:rsidRPr="005B6DAB">
        <w:rPr>
          <w:rFonts w:cs="Arial"/>
          <w:sz w:val="16"/>
          <w:szCs w:val="16"/>
          <w:lang w:val="cs-CZ"/>
        </w:rPr>
        <w:t>between</w:t>
      </w:r>
      <w:proofErr w:type="spellEnd"/>
      <w:r w:rsidRPr="005B6DAB">
        <w:rPr>
          <w:rFonts w:cs="Arial"/>
          <w:sz w:val="16"/>
          <w:szCs w:val="16"/>
          <w:lang w:val="cs-CZ"/>
        </w:rPr>
        <w:t xml:space="preserve"> Telia </w:t>
      </w:r>
      <w:proofErr w:type="spellStart"/>
      <w:r w:rsidRPr="005B6DAB">
        <w:rPr>
          <w:rFonts w:cs="Arial"/>
          <w:sz w:val="16"/>
          <w:szCs w:val="16"/>
          <w:lang w:val="cs-CZ"/>
        </w:rPr>
        <w:t>Denmark</w:t>
      </w:r>
      <w:proofErr w:type="spellEnd"/>
      <w:r w:rsidRPr="005B6DAB">
        <w:rPr>
          <w:rFonts w:cs="Arial"/>
          <w:sz w:val="16"/>
          <w:szCs w:val="16"/>
          <w:lang w:val="cs-CZ"/>
        </w:rPr>
        <w:t xml:space="preserve"> A/S and </w:t>
      </w:r>
      <w:proofErr w:type="spellStart"/>
      <w:r w:rsidRPr="005B6DAB">
        <w:rPr>
          <w:rFonts w:cs="Arial"/>
          <w:sz w:val="16"/>
          <w:szCs w:val="16"/>
          <w:lang w:val="cs-CZ"/>
        </w:rPr>
        <w:t>Telenor</w:t>
      </w:r>
      <w:proofErr w:type="spellEnd"/>
      <w:r w:rsidRPr="005B6DAB">
        <w:rPr>
          <w:rFonts w:cs="Arial"/>
          <w:sz w:val="16"/>
          <w:szCs w:val="16"/>
          <w:lang w:val="cs-CZ"/>
        </w:rPr>
        <w:t xml:space="preserve"> A/S, </w:t>
      </w:r>
      <w:proofErr w:type="spellStart"/>
      <w:r w:rsidRPr="005B6DAB">
        <w:rPr>
          <w:rFonts w:cs="Arial"/>
          <w:sz w:val="16"/>
          <w:szCs w:val="16"/>
          <w:lang w:val="cs-CZ"/>
        </w:rPr>
        <w:t>concern</w:t>
      </w:r>
      <w:proofErr w:type="spellEnd"/>
      <w:r w:rsidRPr="005B6DAB">
        <w:rPr>
          <w:rFonts w:cs="Arial"/>
          <w:sz w:val="16"/>
          <w:szCs w:val="16"/>
          <w:lang w:val="cs-CZ"/>
        </w:rPr>
        <w:t xml:space="preserve"> no. 6; dostupné z:</w:t>
      </w:r>
    </w:p>
    <w:p w14:paraId="05710F2B" w14:textId="77777777" w:rsidR="00273E54" w:rsidRPr="005B6DAB" w:rsidRDefault="00273E54" w:rsidP="00A163E1">
      <w:pPr>
        <w:pStyle w:val="Textpoznpodarou"/>
        <w:spacing w:before="0" w:after="0" w:line="276" w:lineRule="auto"/>
        <w:jc w:val="left"/>
        <w:rPr>
          <w:rFonts w:cs="Arial"/>
          <w:b/>
          <w:sz w:val="16"/>
          <w:szCs w:val="16"/>
          <w:lang w:val="cs-CZ"/>
        </w:rPr>
      </w:pPr>
      <w:r w:rsidRPr="00F46F24">
        <w:rPr>
          <w:rFonts w:cs="Arial"/>
          <w:sz w:val="16"/>
          <w:szCs w:val="16"/>
          <w:lang w:val="cs-CZ"/>
        </w:rPr>
        <w:t>http://en.kfst.dk/Indhold-KFST/English/Decisions/20120229-Radio-Access-Network-sharing-agreement-between-Telia-Denmark-and-Telenor?tc=F1618B4A5A8D4BBC9414DAA8FC6CD519</w:t>
      </w:r>
      <w:r>
        <w:rPr>
          <w:rFonts w:cs="Arial"/>
          <w:b/>
          <w:sz w:val="16"/>
          <w:szCs w:val="16"/>
          <w:lang w:val="cs-CZ"/>
        </w:rPr>
        <w:t>.</w:t>
      </w:r>
    </w:p>
  </w:footnote>
  <w:footnote w:id="132">
    <w:p w14:paraId="5D5F8656"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lang w:val="cs-CZ"/>
        </w:rPr>
        <w:footnoteRef/>
      </w:r>
      <w:r w:rsidRPr="005B6DAB">
        <w:rPr>
          <w:rFonts w:cs="Arial"/>
          <w:sz w:val="16"/>
          <w:szCs w:val="16"/>
          <w:lang w:val="cs-CZ"/>
        </w:rPr>
        <w:t xml:space="preserve"> </w:t>
      </w:r>
      <w:r w:rsidRPr="005B6DAB">
        <w:rPr>
          <w:rFonts w:cs="Arial"/>
          <w:sz w:val="16"/>
          <w:szCs w:val="16"/>
          <w:lang w:val="cs-CZ"/>
        </w:rPr>
        <w:tab/>
        <w:t xml:space="preserve">Viz sdělení </w:t>
      </w:r>
      <w:proofErr w:type="spellStart"/>
      <w:r w:rsidRPr="005B6DAB">
        <w:rPr>
          <w:rFonts w:cs="Arial"/>
          <w:sz w:val="16"/>
          <w:szCs w:val="16"/>
          <w:lang w:val="cs-CZ"/>
        </w:rPr>
        <w:t>Danish</w:t>
      </w:r>
      <w:proofErr w:type="spellEnd"/>
      <w:r w:rsidRPr="005B6DAB">
        <w:rPr>
          <w:rFonts w:cs="Arial"/>
          <w:sz w:val="16"/>
          <w:szCs w:val="16"/>
          <w:lang w:val="cs-CZ"/>
        </w:rPr>
        <w:t xml:space="preserve"> </w:t>
      </w:r>
      <w:proofErr w:type="spellStart"/>
      <w:r w:rsidRPr="005B6DAB">
        <w:rPr>
          <w:rFonts w:cs="Arial"/>
          <w:sz w:val="16"/>
          <w:szCs w:val="16"/>
          <w:lang w:val="cs-CZ"/>
        </w:rPr>
        <w:t>Competition</w:t>
      </w:r>
      <w:proofErr w:type="spellEnd"/>
      <w:r w:rsidRPr="005B6DAB">
        <w:rPr>
          <w:rFonts w:cs="Arial"/>
          <w:sz w:val="16"/>
          <w:szCs w:val="16"/>
          <w:lang w:val="cs-CZ"/>
        </w:rPr>
        <w:t xml:space="preserve"> and </w:t>
      </w:r>
      <w:proofErr w:type="spellStart"/>
      <w:r w:rsidRPr="005B6DAB">
        <w:rPr>
          <w:rFonts w:cs="Arial"/>
          <w:sz w:val="16"/>
          <w:szCs w:val="16"/>
          <w:lang w:val="cs-CZ"/>
        </w:rPr>
        <w:t>Consumer</w:t>
      </w:r>
      <w:proofErr w:type="spellEnd"/>
      <w:r w:rsidRPr="005B6DAB">
        <w:rPr>
          <w:rFonts w:cs="Arial"/>
          <w:sz w:val="16"/>
          <w:szCs w:val="16"/>
          <w:lang w:val="cs-CZ"/>
        </w:rPr>
        <w:t xml:space="preserve"> </w:t>
      </w:r>
      <w:proofErr w:type="spellStart"/>
      <w:r w:rsidRPr="005B6DAB">
        <w:rPr>
          <w:rFonts w:cs="Arial"/>
          <w:sz w:val="16"/>
          <w:szCs w:val="16"/>
          <w:lang w:val="cs-CZ"/>
        </w:rPr>
        <w:t>Authority</w:t>
      </w:r>
      <w:proofErr w:type="spellEnd"/>
      <w:r w:rsidRPr="005B6DAB">
        <w:rPr>
          <w:rFonts w:cs="Arial"/>
          <w:sz w:val="16"/>
          <w:szCs w:val="16"/>
          <w:lang w:val="cs-CZ"/>
        </w:rPr>
        <w:t xml:space="preserve"> ze dne 29. února 2013: </w:t>
      </w:r>
      <w:proofErr w:type="spellStart"/>
      <w:r w:rsidRPr="005B6DAB">
        <w:rPr>
          <w:rFonts w:cs="Arial"/>
          <w:sz w:val="16"/>
          <w:szCs w:val="16"/>
          <w:lang w:val="cs-CZ"/>
        </w:rPr>
        <w:t>Radio</w:t>
      </w:r>
      <w:proofErr w:type="spellEnd"/>
      <w:r w:rsidRPr="005B6DAB">
        <w:rPr>
          <w:rFonts w:cs="Arial"/>
          <w:sz w:val="16"/>
          <w:szCs w:val="16"/>
          <w:lang w:val="cs-CZ"/>
        </w:rPr>
        <w:t xml:space="preserve"> Access Network </w:t>
      </w:r>
      <w:proofErr w:type="spellStart"/>
      <w:r w:rsidRPr="005B6DAB">
        <w:rPr>
          <w:rFonts w:cs="Arial"/>
          <w:sz w:val="16"/>
          <w:szCs w:val="16"/>
          <w:lang w:val="cs-CZ"/>
        </w:rPr>
        <w:t>sharing</w:t>
      </w:r>
      <w:proofErr w:type="spellEnd"/>
      <w:r w:rsidRPr="005B6DAB">
        <w:rPr>
          <w:rFonts w:cs="Arial"/>
          <w:sz w:val="16"/>
          <w:szCs w:val="16"/>
          <w:lang w:val="cs-CZ"/>
        </w:rPr>
        <w:t xml:space="preserve"> </w:t>
      </w:r>
      <w:proofErr w:type="spellStart"/>
      <w:r w:rsidRPr="005B6DAB">
        <w:rPr>
          <w:rFonts w:cs="Arial"/>
          <w:sz w:val="16"/>
          <w:szCs w:val="16"/>
          <w:lang w:val="cs-CZ"/>
        </w:rPr>
        <w:t>agreement</w:t>
      </w:r>
      <w:proofErr w:type="spellEnd"/>
      <w:r w:rsidRPr="005B6DAB">
        <w:rPr>
          <w:rFonts w:cs="Arial"/>
          <w:sz w:val="16"/>
          <w:szCs w:val="16"/>
          <w:lang w:val="cs-CZ"/>
        </w:rPr>
        <w:t xml:space="preserve"> </w:t>
      </w:r>
      <w:proofErr w:type="spellStart"/>
      <w:r w:rsidRPr="005B6DAB">
        <w:rPr>
          <w:rFonts w:cs="Arial"/>
          <w:sz w:val="16"/>
          <w:szCs w:val="16"/>
          <w:lang w:val="cs-CZ"/>
        </w:rPr>
        <w:t>between</w:t>
      </w:r>
      <w:proofErr w:type="spellEnd"/>
      <w:r w:rsidRPr="005B6DAB">
        <w:rPr>
          <w:rFonts w:cs="Arial"/>
          <w:sz w:val="16"/>
          <w:szCs w:val="16"/>
          <w:lang w:val="cs-CZ"/>
        </w:rPr>
        <w:t xml:space="preserve"> Telia </w:t>
      </w:r>
      <w:proofErr w:type="spellStart"/>
      <w:r w:rsidRPr="005B6DAB">
        <w:rPr>
          <w:rFonts w:cs="Arial"/>
          <w:sz w:val="16"/>
          <w:szCs w:val="16"/>
          <w:lang w:val="cs-CZ"/>
        </w:rPr>
        <w:t>Denmark</w:t>
      </w:r>
      <w:proofErr w:type="spellEnd"/>
      <w:r w:rsidRPr="005B6DAB">
        <w:rPr>
          <w:rFonts w:cs="Arial"/>
          <w:sz w:val="16"/>
          <w:szCs w:val="16"/>
          <w:lang w:val="cs-CZ"/>
        </w:rPr>
        <w:t xml:space="preserve"> A/S and </w:t>
      </w:r>
      <w:proofErr w:type="spellStart"/>
      <w:r w:rsidRPr="005B6DAB">
        <w:rPr>
          <w:rFonts w:cs="Arial"/>
          <w:sz w:val="16"/>
          <w:szCs w:val="16"/>
          <w:lang w:val="cs-CZ"/>
        </w:rPr>
        <w:t>Telenor</w:t>
      </w:r>
      <w:proofErr w:type="spellEnd"/>
      <w:r w:rsidRPr="005B6DAB">
        <w:rPr>
          <w:rFonts w:cs="Arial"/>
          <w:sz w:val="16"/>
          <w:szCs w:val="16"/>
          <w:lang w:val="cs-CZ"/>
        </w:rPr>
        <w:t xml:space="preserve"> A/S, bod č. 5; dostupné zde:</w:t>
      </w:r>
    </w:p>
    <w:p w14:paraId="34B18768" w14:textId="77777777" w:rsidR="00273E54" w:rsidRPr="005B6DAB" w:rsidRDefault="00273E54" w:rsidP="00A163E1">
      <w:pPr>
        <w:pStyle w:val="Textpoznpodarou"/>
        <w:spacing w:before="0" w:after="0" w:line="276" w:lineRule="auto"/>
        <w:jc w:val="left"/>
        <w:rPr>
          <w:rFonts w:cs="Arial"/>
          <w:sz w:val="16"/>
          <w:szCs w:val="16"/>
          <w:lang w:val="cs-CZ"/>
        </w:rPr>
      </w:pPr>
      <w:r w:rsidRPr="00F46F24">
        <w:rPr>
          <w:rFonts w:cs="Arial"/>
          <w:sz w:val="16"/>
          <w:szCs w:val="16"/>
          <w:lang w:val="cs-CZ"/>
        </w:rPr>
        <w:t>http://en.kfst.dk/Indhold-KFST/English/Decisions/20120229-Radio-Access-Network-sharing-agreement-between-Telia-Denmark-and-Telenor?tc=F1618B4A5A8D4BBC9414DAA8FC6CD519</w:t>
      </w:r>
      <w:r>
        <w:rPr>
          <w:rFonts w:cs="Arial"/>
          <w:sz w:val="16"/>
          <w:szCs w:val="16"/>
          <w:lang w:val="cs-CZ"/>
        </w:rPr>
        <w:t>.</w:t>
      </w:r>
    </w:p>
  </w:footnote>
  <w:footnote w:id="133">
    <w:p w14:paraId="19A4656B" w14:textId="77777777" w:rsidR="00273E54" w:rsidRPr="005B6DAB" w:rsidRDefault="00273E54" w:rsidP="00BF7CFD">
      <w:pPr>
        <w:pStyle w:val="Textpoznpodarou"/>
        <w:spacing w:before="0" w:after="0" w:line="276" w:lineRule="auto"/>
        <w:jc w:val="left"/>
        <w:rPr>
          <w:rFonts w:cs="Arial"/>
          <w:sz w:val="16"/>
          <w:szCs w:val="16"/>
          <w:lang w:val="cs-CZ"/>
        </w:rPr>
      </w:pPr>
      <w:r w:rsidRPr="005B6DAB">
        <w:rPr>
          <w:rStyle w:val="Znakapoznpodarou"/>
          <w:rFonts w:cs="Arial"/>
          <w:sz w:val="16"/>
          <w:szCs w:val="16"/>
          <w:lang w:val="cs-CZ"/>
        </w:rPr>
        <w:footnoteRef/>
      </w:r>
      <w:r w:rsidRPr="005B6DAB">
        <w:rPr>
          <w:rFonts w:cs="Arial"/>
          <w:sz w:val="16"/>
          <w:szCs w:val="16"/>
          <w:lang w:val="cs-CZ"/>
        </w:rPr>
        <w:t xml:space="preserve"> Stanovisko </w:t>
      </w:r>
      <w:proofErr w:type="spellStart"/>
      <w:r w:rsidRPr="005B6DAB">
        <w:rPr>
          <w:rFonts w:cs="Arial"/>
          <w:sz w:val="16"/>
          <w:szCs w:val="16"/>
          <w:lang w:val="cs-CZ"/>
        </w:rPr>
        <w:t>Autorité</w:t>
      </w:r>
      <w:proofErr w:type="spellEnd"/>
      <w:r w:rsidRPr="005B6DAB">
        <w:rPr>
          <w:rFonts w:cs="Arial"/>
          <w:sz w:val="16"/>
          <w:szCs w:val="16"/>
          <w:lang w:val="cs-CZ"/>
        </w:rPr>
        <w:t xml:space="preserve"> de la </w:t>
      </w:r>
      <w:proofErr w:type="spellStart"/>
      <w:r w:rsidRPr="005B6DAB">
        <w:rPr>
          <w:rFonts w:cs="Arial"/>
          <w:sz w:val="16"/>
          <w:szCs w:val="16"/>
          <w:lang w:val="cs-CZ"/>
        </w:rPr>
        <w:t>Concurrence</w:t>
      </w:r>
      <w:proofErr w:type="spellEnd"/>
      <w:r w:rsidRPr="005B6DAB">
        <w:rPr>
          <w:rFonts w:cs="Arial"/>
          <w:sz w:val="16"/>
          <w:szCs w:val="16"/>
          <w:lang w:val="cs-CZ"/>
        </w:rPr>
        <w:t xml:space="preserve"> číslo 13-A-08 ze dne 11. 3. 2013 vztahující se k podmínkám sdílení a národního roamingu v mobilních sítích</w:t>
      </w:r>
      <w:r>
        <w:rPr>
          <w:rFonts w:cs="Arial"/>
          <w:sz w:val="16"/>
          <w:szCs w:val="16"/>
          <w:lang w:val="cs-CZ"/>
        </w:rPr>
        <w:t>.</w:t>
      </w:r>
    </w:p>
  </w:footnote>
  <w:footnote w:id="134">
    <w:p w14:paraId="52D37C08" w14:textId="77777777" w:rsidR="00273E54" w:rsidRPr="005B6DAB" w:rsidRDefault="00273E54" w:rsidP="00A163E1">
      <w:pPr>
        <w:pStyle w:val="Textpoznpodarou"/>
        <w:spacing w:before="0" w:after="0" w:line="276" w:lineRule="auto"/>
        <w:jc w:val="left"/>
        <w:rPr>
          <w:rFonts w:cs="Arial"/>
          <w:sz w:val="16"/>
          <w:szCs w:val="16"/>
          <w:lang w:val="cs-CZ"/>
        </w:rPr>
      </w:pPr>
      <w:r w:rsidRPr="005B6DAB">
        <w:rPr>
          <w:rStyle w:val="Znakapoznpodarou"/>
          <w:rFonts w:cs="Arial"/>
          <w:sz w:val="16"/>
          <w:szCs w:val="16"/>
          <w:lang w:val="cs-CZ"/>
        </w:rPr>
        <w:footnoteRef/>
      </w:r>
      <w:r w:rsidRPr="005B6DAB">
        <w:rPr>
          <w:rFonts w:cs="Arial"/>
          <w:sz w:val="16"/>
          <w:szCs w:val="16"/>
          <w:lang w:val="cs-CZ"/>
        </w:rPr>
        <w:t xml:space="preserve"> </w:t>
      </w:r>
      <w:r w:rsidRPr="00F46F24">
        <w:rPr>
          <w:rFonts w:cs="Arial"/>
          <w:sz w:val="16"/>
          <w:szCs w:val="16"/>
          <w:lang w:val="cs-CZ"/>
        </w:rPr>
        <w:t>http://www.uohs.cz/download/Sekce_HS/MemCTU.pdf</w:t>
      </w:r>
    </w:p>
  </w:footnote>
  <w:footnote w:id="135">
    <w:p w14:paraId="164A27A9" w14:textId="77777777" w:rsidR="00273E54" w:rsidRPr="005B6DAB" w:rsidRDefault="00273E54" w:rsidP="00F46F24">
      <w:pPr>
        <w:pStyle w:val="Textpoznpodarou"/>
        <w:spacing w:before="0" w:after="0" w:line="276" w:lineRule="auto"/>
        <w:jc w:val="left"/>
        <w:rPr>
          <w:rFonts w:cs="Arial"/>
          <w:sz w:val="16"/>
          <w:szCs w:val="16"/>
          <w:lang w:val="cs-CZ"/>
        </w:rPr>
      </w:pPr>
      <w:r w:rsidRPr="005B6DAB">
        <w:rPr>
          <w:rStyle w:val="Znakapoznpodarou"/>
          <w:rFonts w:cs="Arial"/>
          <w:sz w:val="16"/>
          <w:szCs w:val="16"/>
          <w:lang w:val="cs-CZ"/>
        </w:rPr>
        <w:footnoteRef/>
      </w:r>
      <w:r w:rsidRPr="005B6DAB">
        <w:rPr>
          <w:rFonts w:cs="Arial"/>
          <w:sz w:val="16"/>
          <w:szCs w:val="16"/>
          <w:lang w:val="cs-CZ"/>
        </w:rPr>
        <w:t xml:space="preserve"> “</w:t>
      </w:r>
      <w:r w:rsidRPr="005B6DAB">
        <w:rPr>
          <w:rFonts w:cs="Arial"/>
          <w:i/>
          <w:sz w:val="16"/>
          <w:szCs w:val="16"/>
          <w:lang w:val="cs-CZ"/>
        </w:rPr>
        <w:t xml:space="preserve">As long as </w:t>
      </w:r>
      <w:proofErr w:type="spellStart"/>
      <w:r w:rsidRPr="005B6DAB">
        <w:rPr>
          <w:rFonts w:cs="Arial"/>
          <w:i/>
          <w:sz w:val="16"/>
          <w:szCs w:val="16"/>
          <w:lang w:val="cs-CZ"/>
        </w:rPr>
        <w:t>regulatory</w:t>
      </w:r>
      <w:proofErr w:type="spellEnd"/>
      <w:r w:rsidRPr="005B6DAB">
        <w:rPr>
          <w:rFonts w:cs="Arial"/>
          <w:i/>
          <w:sz w:val="16"/>
          <w:szCs w:val="16"/>
          <w:lang w:val="cs-CZ"/>
        </w:rPr>
        <w:t xml:space="preserve"> </w:t>
      </w:r>
      <w:proofErr w:type="spellStart"/>
      <w:r w:rsidRPr="005B6DAB">
        <w:rPr>
          <w:rFonts w:cs="Arial"/>
          <w:i/>
          <w:sz w:val="16"/>
          <w:szCs w:val="16"/>
          <w:lang w:val="cs-CZ"/>
        </w:rPr>
        <w:t>authorities</w:t>
      </w:r>
      <w:proofErr w:type="spellEnd"/>
      <w:r w:rsidRPr="005B6DAB">
        <w:rPr>
          <w:rFonts w:cs="Arial"/>
          <w:i/>
          <w:sz w:val="16"/>
          <w:szCs w:val="16"/>
          <w:lang w:val="cs-CZ"/>
        </w:rPr>
        <w:t xml:space="preserve"> </w:t>
      </w:r>
      <w:proofErr w:type="spellStart"/>
      <w:r w:rsidRPr="005B6DAB">
        <w:rPr>
          <w:rFonts w:cs="Arial"/>
          <w:i/>
          <w:sz w:val="16"/>
          <w:szCs w:val="16"/>
          <w:lang w:val="cs-CZ"/>
        </w:rPr>
        <w:t>ensure</w:t>
      </w:r>
      <w:proofErr w:type="spellEnd"/>
      <w:r w:rsidRPr="005B6DAB">
        <w:rPr>
          <w:rFonts w:cs="Arial"/>
          <w:i/>
          <w:sz w:val="16"/>
          <w:szCs w:val="16"/>
          <w:lang w:val="cs-CZ"/>
        </w:rPr>
        <w:t xml:space="preserve"> network </w:t>
      </w:r>
      <w:proofErr w:type="spellStart"/>
      <w:r w:rsidRPr="005B6DAB">
        <w:rPr>
          <w:rFonts w:cs="Arial"/>
          <w:i/>
          <w:sz w:val="16"/>
          <w:szCs w:val="16"/>
          <w:lang w:val="cs-CZ"/>
        </w:rPr>
        <w:t>sharing</w:t>
      </w:r>
      <w:proofErr w:type="spellEnd"/>
      <w:r w:rsidRPr="005B6DAB">
        <w:rPr>
          <w:rFonts w:cs="Arial"/>
          <w:i/>
          <w:sz w:val="16"/>
          <w:szCs w:val="16"/>
          <w:lang w:val="cs-CZ"/>
        </w:rPr>
        <w:t xml:space="preserve"> </w:t>
      </w:r>
      <w:proofErr w:type="spellStart"/>
      <w:r w:rsidRPr="005B6DAB">
        <w:rPr>
          <w:rFonts w:cs="Arial"/>
          <w:i/>
          <w:sz w:val="16"/>
          <w:szCs w:val="16"/>
          <w:lang w:val="cs-CZ"/>
        </w:rPr>
        <w:t>arrangements</w:t>
      </w:r>
      <w:proofErr w:type="spellEnd"/>
      <w:r w:rsidRPr="005B6DAB">
        <w:rPr>
          <w:rFonts w:cs="Arial"/>
          <w:i/>
          <w:sz w:val="16"/>
          <w:szCs w:val="16"/>
          <w:lang w:val="cs-CZ"/>
        </w:rPr>
        <w:t xml:space="preserve"> do not </w:t>
      </w:r>
      <w:proofErr w:type="spellStart"/>
      <w:r w:rsidRPr="005B6DAB">
        <w:rPr>
          <w:rFonts w:cs="Arial"/>
          <w:i/>
          <w:sz w:val="16"/>
          <w:szCs w:val="16"/>
          <w:lang w:val="cs-CZ"/>
        </w:rPr>
        <w:t>lead</w:t>
      </w:r>
      <w:proofErr w:type="spellEnd"/>
      <w:r w:rsidRPr="005B6DAB">
        <w:rPr>
          <w:rFonts w:cs="Arial"/>
          <w:i/>
          <w:sz w:val="16"/>
          <w:szCs w:val="16"/>
          <w:lang w:val="cs-CZ"/>
        </w:rPr>
        <w:t xml:space="preserve"> to </w:t>
      </w:r>
      <w:proofErr w:type="spellStart"/>
      <w:r w:rsidRPr="005B6DAB">
        <w:rPr>
          <w:rFonts w:cs="Arial"/>
          <w:i/>
          <w:sz w:val="16"/>
          <w:szCs w:val="16"/>
          <w:lang w:val="cs-CZ"/>
        </w:rPr>
        <w:t>less</w:t>
      </w:r>
      <w:proofErr w:type="spellEnd"/>
      <w:r w:rsidRPr="005B6DAB">
        <w:rPr>
          <w:rFonts w:cs="Arial"/>
          <w:i/>
          <w:sz w:val="16"/>
          <w:szCs w:val="16"/>
          <w:lang w:val="cs-CZ"/>
        </w:rPr>
        <w:t xml:space="preserve"> </w:t>
      </w:r>
      <w:proofErr w:type="spellStart"/>
      <w:r w:rsidRPr="005B6DAB">
        <w:rPr>
          <w:rFonts w:cs="Arial"/>
          <w:i/>
          <w:sz w:val="16"/>
          <w:szCs w:val="16"/>
          <w:lang w:val="cs-CZ"/>
        </w:rPr>
        <w:t>wholesale</w:t>
      </w:r>
      <w:proofErr w:type="spellEnd"/>
      <w:r w:rsidRPr="005B6DAB">
        <w:rPr>
          <w:rFonts w:cs="Arial"/>
          <w:i/>
          <w:sz w:val="16"/>
          <w:szCs w:val="16"/>
          <w:lang w:val="cs-CZ"/>
        </w:rPr>
        <w:t xml:space="preserve"> </w:t>
      </w:r>
      <w:proofErr w:type="spellStart"/>
      <w:proofErr w:type="gramStart"/>
      <w:r w:rsidRPr="005B6DAB">
        <w:rPr>
          <w:rFonts w:cs="Arial"/>
          <w:i/>
          <w:sz w:val="16"/>
          <w:szCs w:val="16"/>
          <w:lang w:val="cs-CZ"/>
        </w:rPr>
        <w:t>competition</w:t>
      </w:r>
      <w:proofErr w:type="spellEnd"/>
      <w:r w:rsidRPr="005B6DAB">
        <w:rPr>
          <w:rFonts w:cs="Arial"/>
          <w:i/>
          <w:sz w:val="16"/>
          <w:szCs w:val="16"/>
          <w:lang w:val="cs-CZ"/>
        </w:rPr>
        <w:t xml:space="preserve"> (</w:t>
      </w:r>
      <w:proofErr w:type="spellStart"/>
      <w:r w:rsidRPr="005B6DAB">
        <w:rPr>
          <w:rFonts w:cs="Arial"/>
          <w:i/>
          <w:sz w:val="16"/>
          <w:szCs w:val="16"/>
          <w:lang w:val="cs-CZ"/>
        </w:rPr>
        <w:t>e.g</w:t>
      </w:r>
      <w:proofErr w:type="spellEnd"/>
      <w:r w:rsidRPr="005B6DAB">
        <w:rPr>
          <w:rFonts w:cs="Arial"/>
          <w:i/>
          <w:sz w:val="16"/>
          <w:szCs w:val="16"/>
          <w:lang w:val="cs-CZ"/>
        </w:rPr>
        <w:t>.</w:t>
      </w:r>
      <w:proofErr w:type="gramEnd"/>
      <w:r w:rsidRPr="005B6DAB">
        <w:rPr>
          <w:rFonts w:cs="Arial"/>
          <w:i/>
          <w:sz w:val="16"/>
          <w:szCs w:val="16"/>
          <w:lang w:val="cs-CZ"/>
        </w:rPr>
        <w:t xml:space="preserve"> </w:t>
      </w:r>
      <w:proofErr w:type="spellStart"/>
      <w:r w:rsidRPr="005B6DAB">
        <w:rPr>
          <w:rFonts w:cs="Arial"/>
          <w:i/>
          <w:sz w:val="16"/>
          <w:szCs w:val="16"/>
          <w:lang w:val="cs-CZ"/>
        </w:rPr>
        <w:t>MNOs</w:t>
      </w:r>
      <w:proofErr w:type="spellEnd"/>
      <w:r w:rsidRPr="005B6DAB">
        <w:rPr>
          <w:rFonts w:cs="Arial"/>
          <w:i/>
          <w:sz w:val="16"/>
          <w:szCs w:val="16"/>
          <w:lang w:val="cs-CZ"/>
        </w:rPr>
        <w:t xml:space="preserve"> </w:t>
      </w:r>
      <w:proofErr w:type="spellStart"/>
      <w:r w:rsidRPr="005B6DAB">
        <w:rPr>
          <w:rFonts w:cs="Arial"/>
          <w:i/>
          <w:sz w:val="16"/>
          <w:szCs w:val="16"/>
          <w:lang w:val="cs-CZ"/>
        </w:rPr>
        <w:t>remain</w:t>
      </w:r>
      <w:proofErr w:type="spellEnd"/>
      <w:r w:rsidRPr="005B6DAB">
        <w:rPr>
          <w:rFonts w:cs="Arial"/>
          <w:i/>
          <w:sz w:val="16"/>
          <w:szCs w:val="16"/>
          <w:lang w:val="cs-CZ"/>
        </w:rPr>
        <w:t xml:space="preserve"> independent </w:t>
      </w:r>
      <w:proofErr w:type="spellStart"/>
      <w:r w:rsidRPr="005B6DAB">
        <w:rPr>
          <w:rFonts w:cs="Arial"/>
          <w:i/>
          <w:sz w:val="16"/>
          <w:szCs w:val="16"/>
          <w:lang w:val="cs-CZ"/>
        </w:rPr>
        <w:t>wholesale</w:t>
      </w:r>
      <w:proofErr w:type="spellEnd"/>
      <w:r w:rsidRPr="005B6DAB">
        <w:rPr>
          <w:rFonts w:cs="Arial"/>
          <w:i/>
          <w:sz w:val="16"/>
          <w:szCs w:val="16"/>
          <w:lang w:val="cs-CZ"/>
        </w:rPr>
        <w:t xml:space="preserve"> </w:t>
      </w:r>
      <w:proofErr w:type="spellStart"/>
      <w:r w:rsidRPr="005B6DAB">
        <w:rPr>
          <w:rFonts w:cs="Arial"/>
          <w:i/>
          <w:sz w:val="16"/>
          <w:szCs w:val="16"/>
          <w:lang w:val="cs-CZ"/>
        </w:rPr>
        <w:t>providers</w:t>
      </w:r>
      <w:proofErr w:type="spellEnd"/>
      <w:r w:rsidRPr="005B6DAB">
        <w:rPr>
          <w:rFonts w:cs="Arial"/>
          <w:i/>
          <w:sz w:val="16"/>
          <w:szCs w:val="16"/>
          <w:lang w:val="cs-CZ"/>
        </w:rPr>
        <w:t xml:space="preserve"> </w:t>
      </w:r>
      <w:proofErr w:type="spellStart"/>
      <w:r w:rsidRPr="005B6DAB">
        <w:rPr>
          <w:rFonts w:cs="Arial"/>
          <w:i/>
          <w:sz w:val="16"/>
          <w:szCs w:val="16"/>
          <w:lang w:val="cs-CZ"/>
        </w:rPr>
        <w:t>over</w:t>
      </w:r>
      <w:proofErr w:type="spellEnd"/>
      <w:r w:rsidRPr="005B6DAB">
        <w:rPr>
          <w:rFonts w:cs="Arial"/>
          <w:i/>
          <w:sz w:val="16"/>
          <w:szCs w:val="16"/>
          <w:lang w:val="cs-CZ"/>
        </w:rPr>
        <w:t xml:space="preserve"> </w:t>
      </w:r>
      <w:proofErr w:type="spellStart"/>
      <w:r w:rsidRPr="005B6DAB">
        <w:rPr>
          <w:rFonts w:cs="Arial"/>
          <w:i/>
          <w:sz w:val="16"/>
          <w:szCs w:val="16"/>
          <w:lang w:val="cs-CZ"/>
        </w:rPr>
        <w:t>shared</w:t>
      </w:r>
      <w:proofErr w:type="spellEnd"/>
      <w:r w:rsidRPr="005B6DAB">
        <w:rPr>
          <w:rFonts w:cs="Arial"/>
          <w:i/>
          <w:sz w:val="16"/>
          <w:szCs w:val="16"/>
          <w:lang w:val="cs-CZ"/>
        </w:rPr>
        <w:t xml:space="preserve"> </w:t>
      </w:r>
      <w:proofErr w:type="spellStart"/>
      <w:r w:rsidRPr="005B6DAB">
        <w:rPr>
          <w:rFonts w:cs="Arial"/>
          <w:i/>
          <w:sz w:val="16"/>
          <w:szCs w:val="16"/>
          <w:lang w:val="cs-CZ"/>
        </w:rPr>
        <w:t>infrastructure</w:t>
      </w:r>
      <w:proofErr w:type="spellEnd"/>
      <w:r w:rsidRPr="005B6DAB">
        <w:rPr>
          <w:rFonts w:cs="Arial"/>
          <w:i/>
          <w:sz w:val="16"/>
          <w:szCs w:val="16"/>
          <w:lang w:val="cs-CZ"/>
        </w:rPr>
        <w:t xml:space="preserve">) </w:t>
      </w:r>
      <w:proofErr w:type="spellStart"/>
      <w:r w:rsidRPr="005B6DAB">
        <w:rPr>
          <w:rFonts w:cs="Arial"/>
          <w:i/>
          <w:sz w:val="16"/>
          <w:szCs w:val="16"/>
          <w:lang w:val="cs-CZ"/>
        </w:rPr>
        <w:t>this</w:t>
      </w:r>
      <w:proofErr w:type="spellEnd"/>
      <w:r w:rsidRPr="005B6DAB">
        <w:rPr>
          <w:rFonts w:cs="Arial"/>
          <w:i/>
          <w:sz w:val="16"/>
          <w:szCs w:val="16"/>
          <w:lang w:val="cs-CZ"/>
        </w:rPr>
        <w:t xml:space="preserve"> </w:t>
      </w:r>
      <w:proofErr w:type="spellStart"/>
      <w:r w:rsidRPr="005B6DAB">
        <w:rPr>
          <w:rFonts w:cs="Arial"/>
          <w:i/>
          <w:sz w:val="16"/>
          <w:szCs w:val="16"/>
          <w:lang w:val="cs-CZ"/>
        </w:rPr>
        <w:t>need</w:t>
      </w:r>
      <w:proofErr w:type="spellEnd"/>
      <w:r w:rsidRPr="005B6DAB">
        <w:rPr>
          <w:rFonts w:cs="Arial"/>
          <w:i/>
          <w:sz w:val="16"/>
          <w:szCs w:val="16"/>
          <w:lang w:val="cs-CZ"/>
        </w:rPr>
        <w:t xml:space="preserve"> not </w:t>
      </w:r>
      <w:proofErr w:type="spellStart"/>
      <w:r w:rsidRPr="005B6DAB">
        <w:rPr>
          <w:rFonts w:cs="Arial"/>
          <w:i/>
          <w:sz w:val="16"/>
          <w:szCs w:val="16"/>
          <w:lang w:val="cs-CZ"/>
        </w:rPr>
        <w:t>be</w:t>
      </w:r>
      <w:proofErr w:type="spellEnd"/>
      <w:r w:rsidRPr="005B6DAB">
        <w:rPr>
          <w:rFonts w:cs="Arial"/>
          <w:i/>
          <w:sz w:val="16"/>
          <w:szCs w:val="16"/>
          <w:lang w:val="cs-CZ"/>
        </w:rPr>
        <w:t xml:space="preserve"> </w:t>
      </w:r>
      <w:proofErr w:type="spellStart"/>
      <w:r w:rsidRPr="005B6DAB">
        <w:rPr>
          <w:rFonts w:cs="Arial"/>
          <w:i/>
          <w:sz w:val="16"/>
          <w:szCs w:val="16"/>
          <w:lang w:val="cs-CZ"/>
        </w:rPr>
        <w:t>an</w:t>
      </w:r>
      <w:proofErr w:type="spellEnd"/>
      <w:r w:rsidRPr="005B6DAB">
        <w:rPr>
          <w:rFonts w:cs="Arial"/>
          <w:i/>
          <w:sz w:val="16"/>
          <w:szCs w:val="16"/>
          <w:lang w:val="cs-CZ"/>
        </w:rPr>
        <w:t xml:space="preserve"> </w:t>
      </w:r>
      <w:proofErr w:type="spellStart"/>
      <w:r w:rsidRPr="005B6DAB">
        <w:rPr>
          <w:rFonts w:cs="Arial"/>
          <w:i/>
          <w:sz w:val="16"/>
          <w:szCs w:val="16"/>
          <w:lang w:val="cs-CZ"/>
        </w:rPr>
        <w:t>issue</w:t>
      </w:r>
      <w:proofErr w:type="spellEnd"/>
      <w:r w:rsidRPr="005B6DAB">
        <w:rPr>
          <w:rFonts w:cs="Arial"/>
          <w:i/>
          <w:sz w:val="16"/>
          <w:szCs w:val="16"/>
          <w:lang w:val="cs-CZ"/>
        </w:rPr>
        <w:t>.</w:t>
      </w:r>
      <w:r w:rsidRPr="005B6DAB">
        <w:rPr>
          <w:rFonts w:cs="Arial"/>
          <w:sz w:val="16"/>
          <w:szCs w:val="16"/>
          <w:lang w:val="cs-CZ"/>
        </w:rPr>
        <w:t>” (</w:t>
      </w:r>
      <w:proofErr w:type="spellStart"/>
      <w:r w:rsidRPr="005B6DAB">
        <w:rPr>
          <w:rFonts w:cs="Arial"/>
          <w:sz w:val="16"/>
          <w:szCs w:val="16"/>
          <w:lang w:val="cs-CZ"/>
        </w:rPr>
        <w:t>ibid</w:t>
      </w:r>
      <w:proofErr w:type="spellEnd"/>
      <w:r w:rsidRPr="005B6DAB">
        <w:rPr>
          <w:rFonts w:cs="Arial"/>
          <w:sz w:val="16"/>
          <w:szCs w:val="16"/>
          <w:lang w:val="cs-CZ"/>
        </w:rPr>
        <w:t>., str. 8)</w:t>
      </w:r>
      <w:r>
        <w:rPr>
          <w:rFonts w:cs="Arial"/>
          <w:sz w:val="16"/>
          <w:szCs w:val="16"/>
          <w:lang w:val="cs-CZ"/>
        </w:rPr>
        <w:t>.</w:t>
      </w:r>
    </w:p>
  </w:footnote>
  <w:footnote w:id="136">
    <w:p w14:paraId="35E02F53" w14:textId="77777777" w:rsidR="00273E54" w:rsidRPr="005B6DAB" w:rsidRDefault="00273E54" w:rsidP="00A163E1">
      <w:pPr>
        <w:pStyle w:val="Textpoznpodarou"/>
        <w:spacing w:before="0" w:line="240"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lang w:val="cs-CZ"/>
        </w:rPr>
        <w:t xml:space="preserve"> Jedná o okresy, kde převažují řídce osídlené oblasti. </w:t>
      </w:r>
    </w:p>
  </w:footnote>
  <w:footnote w:id="137">
    <w:p w14:paraId="74844E14" w14:textId="77777777" w:rsidR="00273E54" w:rsidRPr="005B6DAB" w:rsidRDefault="00273E54" w:rsidP="00A163E1">
      <w:pPr>
        <w:pStyle w:val="Textpoznpodarou"/>
        <w:spacing w:before="0" w:line="240"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lang w:val="cs-CZ"/>
        </w:rPr>
        <w:t xml:space="preserve"> Ostatní okresy</w:t>
      </w:r>
      <w:r>
        <w:rPr>
          <w:rFonts w:cs="Arial"/>
          <w:sz w:val="16"/>
          <w:szCs w:val="16"/>
          <w:lang w:val="cs-CZ"/>
        </w:rPr>
        <w:t>.</w:t>
      </w:r>
    </w:p>
  </w:footnote>
  <w:footnote w:id="138">
    <w:p w14:paraId="12B447AF" w14:textId="77777777" w:rsidR="00273E54" w:rsidRPr="005B6DAB" w:rsidRDefault="00273E54" w:rsidP="00A163E1">
      <w:pPr>
        <w:pStyle w:val="Textpoznpodarou"/>
        <w:spacing w:before="0" w:line="240" w:lineRule="auto"/>
        <w:jc w:val="left"/>
        <w:rPr>
          <w:rFonts w:cs="Arial"/>
          <w:sz w:val="16"/>
          <w:szCs w:val="16"/>
          <w:lang w:val="cs-CZ"/>
        </w:rPr>
      </w:pPr>
      <w:r w:rsidRPr="005B6DAB">
        <w:rPr>
          <w:rStyle w:val="Znakapoznpodarou"/>
          <w:rFonts w:cs="Arial"/>
          <w:sz w:val="16"/>
          <w:szCs w:val="16"/>
        </w:rPr>
        <w:footnoteRef/>
      </w:r>
      <w:r w:rsidRPr="005B6DAB">
        <w:rPr>
          <w:rFonts w:cs="Arial"/>
          <w:sz w:val="16"/>
          <w:szCs w:val="16"/>
          <w:lang w:val="cs-CZ"/>
        </w:rPr>
        <w:t xml:space="preserve"> Neboli firemní řešení, které nabízí zákazníkům využití portfolia pevných hlasových, datových a IT služeb s možností konvergovaného řešení s mobilními službami.</w:t>
      </w:r>
    </w:p>
  </w:footnote>
  <w:footnote w:id="139">
    <w:p w14:paraId="292EC623" w14:textId="77777777" w:rsidR="00273E54" w:rsidRPr="005B6DAB" w:rsidRDefault="00273E54" w:rsidP="00A163E1">
      <w:pPr>
        <w:pStyle w:val="Textpoznpodarou"/>
        <w:jc w:val="left"/>
        <w:rPr>
          <w:rFonts w:cs="Arial"/>
          <w:sz w:val="16"/>
          <w:szCs w:val="16"/>
          <w:lang w:val="cs-CZ"/>
        </w:rPr>
      </w:pPr>
      <w:r w:rsidRPr="005B6DAB">
        <w:rPr>
          <w:rStyle w:val="Znakapoznpodarou"/>
          <w:rFonts w:cs="Arial"/>
          <w:sz w:val="16"/>
          <w:szCs w:val="16"/>
        </w:rPr>
        <w:footnoteRef/>
      </w:r>
      <w:r w:rsidRPr="005B6DAB">
        <w:rPr>
          <w:rFonts w:cs="Arial"/>
          <w:sz w:val="16"/>
          <w:szCs w:val="16"/>
          <w:lang w:val="cs-CZ"/>
        </w:rPr>
        <w:t xml:space="preserve"> S výjimkou ochrany před nečinností podle § 80 zákona č. 500/2004 Sb., správní řád, ve znění pozdějších předpisů. I zde je však použitelnost uvedeného ustanovení spíše omezená: pomocí tohoto ustanovení se lze totiž pouze obtížně domáhat zahájení řízení tam, kde správní orgán nemá povinnost rozhodnout. </w:t>
      </w:r>
    </w:p>
  </w:footnote>
  <w:footnote w:id="140">
    <w:p w14:paraId="02740416" w14:textId="77777777" w:rsidR="00273E54" w:rsidRPr="005B6DAB" w:rsidRDefault="00273E54" w:rsidP="00A163E1">
      <w:pPr>
        <w:pStyle w:val="Textpoznpodarou"/>
        <w:jc w:val="left"/>
        <w:rPr>
          <w:rFonts w:cs="Arial"/>
          <w:sz w:val="16"/>
          <w:szCs w:val="16"/>
          <w:lang w:val="cs-CZ"/>
        </w:rPr>
      </w:pPr>
      <w:r w:rsidRPr="005B6DAB">
        <w:rPr>
          <w:rStyle w:val="Znakapoznpodarou"/>
          <w:rFonts w:cs="Arial"/>
          <w:sz w:val="16"/>
          <w:szCs w:val="16"/>
        </w:rPr>
        <w:footnoteRef/>
      </w:r>
      <w:r w:rsidRPr="005B6DAB">
        <w:rPr>
          <w:rFonts w:cs="Arial"/>
          <w:sz w:val="16"/>
          <w:szCs w:val="16"/>
          <w:lang w:val="cs-CZ"/>
        </w:rPr>
        <w:t xml:space="preserve"> § 53 odst. 1 Zákona: </w:t>
      </w:r>
      <w:r w:rsidRPr="005B6DAB">
        <w:rPr>
          <w:rFonts w:cs="Arial"/>
          <w:i/>
          <w:sz w:val="16"/>
          <w:szCs w:val="16"/>
          <w:lang w:val="cs-CZ"/>
        </w:rPr>
        <w:t>Právnická nebo fyzická osoba podnikající v oblasti elektronických komunikací, která má samostatně nebo ve spojení s jedním nebo více subjekty na relevantním trhu takové ekonomické postavení, které jí umožňuje chovat se ve značné míře nezávisle na konkurenci, zákaznících a spotřebitelích, je podnikem s významnou tržní silou.</w:t>
      </w:r>
    </w:p>
  </w:footnote>
  <w:footnote w:id="141">
    <w:p w14:paraId="37CD6B87" w14:textId="77777777" w:rsidR="00273E54" w:rsidRPr="005B6DAB" w:rsidRDefault="00273E54" w:rsidP="00A163E1">
      <w:pPr>
        <w:pStyle w:val="Textpoznpodarou"/>
        <w:jc w:val="left"/>
        <w:rPr>
          <w:rFonts w:cs="Arial"/>
          <w:sz w:val="16"/>
          <w:szCs w:val="16"/>
          <w:lang w:val="cs-CZ"/>
        </w:rPr>
      </w:pPr>
      <w:r w:rsidRPr="005B6DAB">
        <w:rPr>
          <w:rStyle w:val="Znakapoznpodarou"/>
          <w:rFonts w:cs="Arial"/>
          <w:sz w:val="16"/>
          <w:szCs w:val="16"/>
        </w:rPr>
        <w:footnoteRef/>
      </w:r>
      <w:r w:rsidRPr="005B6DAB">
        <w:rPr>
          <w:rFonts w:cs="Arial"/>
          <w:sz w:val="16"/>
          <w:szCs w:val="16"/>
          <w:lang w:val="fr-FR"/>
        </w:rPr>
        <w:t xml:space="preserve"> </w:t>
      </w:r>
      <w:r w:rsidRPr="005B6DAB">
        <w:rPr>
          <w:rFonts w:cs="Arial"/>
          <w:sz w:val="16"/>
          <w:szCs w:val="16"/>
          <w:lang w:val="cs-CZ"/>
        </w:rPr>
        <w:t>§ 51 odst. 2 Zákona</w:t>
      </w:r>
      <w:r>
        <w:rPr>
          <w:rFonts w:cs="Arial"/>
          <w:sz w:val="16"/>
          <w:szCs w:val="16"/>
          <w:lang w:val="cs-CZ"/>
        </w:rPr>
        <w:t>.</w:t>
      </w:r>
    </w:p>
  </w:footnote>
  <w:footnote w:id="142">
    <w:p w14:paraId="5EA2E1FA" w14:textId="77777777" w:rsidR="00273E54" w:rsidRPr="005B6DAB" w:rsidRDefault="00273E54" w:rsidP="00A163E1">
      <w:pPr>
        <w:pStyle w:val="Textpoznpodarou"/>
        <w:tabs>
          <w:tab w:val="left" w:pos="284"/>
        </w:tabs>
        <w:spacing w:before="0" w:after="0" w:line="276" w:lineRule="auto"/>
        <w:ind w:left="284" w:hanging="284"/>
        <w:jc w:val="left"/>
        <w:rPr>
          <w:rFonts w:cs="Arial"/>
          <w:sz w:val="16"/>
          <w:szCs w:val="16"/>
          <w:lang w:val="cs-CZ"/>
        </w:rPr>
      </w:pPr>
      <w:r w:rsidRPr="005B6DAB">
        <w:rPr>
          <w:rStyle w:val="Znakapoznpodarou"/>
          <w:rFonts w:cs="Arial"/>
          <w:sz w:val="16"/>
          <w:szCs w:val="16"/>
        </w:rPr>
        <w:footnoteRef/>
      </w:r>
      <w:r w:rsidRPr="005B6DAB">
        <w:rPr>
          <w:rFonts w:cs="Arial"/>
          <w:sz w:val="16"/>
          <w:szCs w:val="16"/>
          <w:lang w:val="cs-CZ"/>
        </w:rPr>
        <w:t xml:space="preserve"> </w:t>
      </w:r>
      <w:r w:rsidRPr="005B6DAB">
        <w:rPr>
          <w:rFonts w:cs="Arial"/>
          <w:sz w:val="16"/>
          <w:szCs w:val="16"/>
          <w:lang w:val="cs-CZ"/>
        </w:rPr>
        <w:tab/>
        <w:t xml:space="preserve">Rozhodnutí T-342/99 - </w:t>
      </w:r>
      <w:proofErr w:type="spellStart"/>
      <w:r w:rsidRPr="005B6DAB">
        <w:rPr>
          <w:rFonts w:cs="Arial"/>
          <w:sz w:val="16"/>
          <w:szCs w:val="16"/>
          <w:lang w:val="cs-CZ"/>
        </w:rPr>
        <w:t>Airtours</w:t>
      </w:r>
      <w:proofErr w:type="spellEnd"/>
      <w:r w:rsidRPr="005B6DAB">
        <w:rPr>
          <w:rFonts w:cs="Arial"/>
          <w:sz w:val="16"/>
          <w:szCs w:val="16"/>
          <w:lang w:val="cs-CZ"/>
        </w:rPr>
        <w:t xml:space="preserve"> </w:t>
      </w:r>
      <w:proofErr w:type="spellStart"/>
      <w:r w:rsidRPr="005B6DAB">
        <w:rPr>
          <w:rFonts w:cs="Arial"/>
          <w:sz w:val="16"/>
          <w:szCs w:val="16"/>
          <w:lang w:val="cs-CZ"/>
        </w:rPr>
        <w:t>plc</w:t>
      </w:r>
      <w:proofErr w:type="spellEnd"/>
      <w:r w:rsidRPr="005B6DAB">
        <w:rPr>
          <w:rFonts w:cs="Arial"/>
          <w:sz w:val="16"/>
          <w:szCs w:val="16"/>
          <w:lang w:val="cs-CZ"/>
        </w:rPr>
        <w:t xml:space="preserve">. </w:t>
      </w:r>
      <w:proofErr w:type="spellStart"/>
      <w:r w:rsidRPr="005B6DAB">
        <w:rPr>
          <w:rFonts w:cs="Arial"/>
          <w:sz w:val="16"/>
          <w:szCs w:val="16"/>
          <w:lang w:val="cs-CZ"/>
        </w:rPr>
        <w:t>vs</w:t>
      </w:r>
      <w:proofErr w:type="spellEnd"/>
      <w:r w:rsidRPr="005B6DAB">
        <w:rPr>
          <w:rFonts w:cs="Arial"/>
          <w:sz w:val="16"/>
          <w:szCs w:val="16"/>
          <w:lang w:val="cs-CZ"/>
        </w:rPr>
        <w:t xml:space="preserve"> </w:t>
      </w:r>
      <w:proofErr w:type="spellStart"/>
      <w:r w:rsidRPr="005B6DAB">
        <w:rPr>
          <w:rFonts w:cs="Arial"/>
          <w:sz w:val="16"/>
          <w:szCs w:val="16"/>
          <w:lang w:val="cs-CZ"/>
        </w:rPr>
        <w:t>Commission</w:t>
      </w:r>
      <w:proofErr w:type="spellEnd"/>
      <w:r w:rsidRPr="005B6DAB">
        <w:rPr>
          <w:rFonts w:cs="Arial"/>
          <w:sz w:val="16"/>
          <w:szCs w:val="16"/>
          <w:lang w:val="cs-CZ"/>
        </w:rPr>
        <w:t xml:space="preserve"> z 6. června 2002</w:t>
      </w:r>
      <w:r>
        <w:rPr>
          <w:rFonts w:cs="Arial"/>
          <w:sz w:val="16"/>
          <w:szCs w:val="16"/>
          <w:lang w:val="cs-CZ"/>
        </w:rPr>
        <w:t>.</w:t>
      </w:r>
      <w:r w:rsidRPr="005B6DAB">
        <w:rPr>
          <w:rFonts w:cs="Arial"/>
          <w:sz w:val="16"/>
          <w:szCs w:val="16"/>
          <w:lang w:val="cs-CZ"/>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3F7BE" w14:textId="77777777" w:rsidR="00273E54" w:rsidRPr="00983B42" w:rsidRDefault="00273E54" w:rsidP="00B852D2">
    <w:pPr>
      <w:pStyle w:val="Zhlav"/>
      <w:jc w:val="right"/>
      <w:rPr>
        <w:b/>
        <w:color w:val="FF0000"/>
        <w:szCs w:val="20"/>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10DB"/>
    <w:multiLevelType w:val="hybridMultilevel"/>
    <w:tmpl w:val="095C7FC4"/>
    <w:lvl w:ilvl="0" w:tplc="F5CAC9C0">
      <w:start w:val="2"/>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D23FDD"/>
    <w:multiLevelType w:val="hybridMultilevel"/>
    <w:tmpl w:val="90488EB0"/>
    <w:lvl w:ilvl="0" w:tplc="7E68C5EA">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9C317D"/>
    <w:multiLevelType w:val="hybridMultilevel"/>
    <w:tmpl w:val="90488EB0"/>
    <w:lvl w:ilvl="0" w:tplc="7E68C5EA">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713BE0"/>
    <w:multiLevelType w:val="hybridMultilevel"/>
    <w:tmpl w:val="7622735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547AEF"/>
    <w:multiLevelType w:val="hybridMultilevel"/>
    <w:tmpl w:val="32CE8032"/>
    <w:lvl w:ilvl="0" w:tplc="6622B2EA">
      <w:start w:val="1"/>
      <w:numFmt w:val="lowerLetter"/>
      <w:lvlText w:val="%1."/>
      <w:lvlJc w:val="left"/>
      <w:pPr>
        <w:ind w:left="720" w:hanging="360"/>
      </w:pPr>
      <w:rPr>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31108C"/>
    <w:multiLevelType w:val="hybridMultilevel"/>
    <w:tmpl w:val="9E4A1FCA"/>
    <w:lvl w:ilvl="0" w:tplc="398AED7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6AB3948"/>
    <w:multiLevelType w:val="hybridMultilevel"/>
    <w:tmpl w:val="56684366"/>
    <w:lvl w:ilvl="0" w:tplc="24E25D14">
      <w:start w:val="1"/>
      <w:numFmt w:val="bullet"/>
      <w:pStyle w:val="Zkladntextodsazen2"/>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0F28F1"/>
    <w:multiLevelType w:val="hybridMultilevel"/>
    <w:tmpl w:val="196C895C"/>
    <w:lvl w:ilvl="0" w:tplc="3CAE4602">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31593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5A759A"/>
    <w:multiLevelType w:val="hybridMultilevel"/>
    <w:tmpl w:val="AF443CE0"/>
    <w:lvl w:ilvl="0" w:tplc="19702AE0">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58E4CD5"/>
    <w:multiLevelType w:val="hybridMultilevel"/>
    <w:tmpl w:val="4412BD3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7865A14"/>
    <w:multiLevelType w:val="hybridMultilevel"/>
    <w:tmpl w:val="09902EBA"/>
    <w:lvl w:ilvl="0" w:tplc="19702AE0">
      <w:start w:val="1"/>
      <w:numFmt w:val="bullet"/>
      <w:lvlText w:val="-"/>
      <w:lvlJc w:val="left"/>
      <w:pPr>
        <w:ind w:left="360" w:hanging="360"/>
      </w:pPr>
      <w:rPr>
        <w:rFonts w:ascii="Courier New" w:hAnsi="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3867113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EB614C"/>
    <w:multiLevelType w:val="hybridMultilevel"/>
    <w:tmpl w:val="F9CE082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3BC23401"/>
    <w:multiLevelType w:val="hybridMultilevel"/>
    <w:tmpl w:val="9E9C4466"/>
    <w:lvl w:ilvl="0" w:tplc="398AED7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23E1630"/>
    <w:multiLevelType w:val="hybridMultilevel"/>
    <w:tmpl w:val="3AF065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8855F03"/>
    <w:multiLevelType w:val="hybridMultilevel"/>
    <w:tmpl w:val="0B980362"/>
    <w:lvl w:ilvl="0" w:tplc="398AED7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B0255D9"/>
    <w:multiLevelType w:val="hybridMultilevel"/>
    <w:tmpl w:val="B62C3CC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6460C6"/>
    <w:multiLevelType w:val="hybridMultilevel"/>
    <w:tmpl w:val="ABB012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05A5D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47679F3"/>
    <w:multiLevelType w:val="hybridMultilevel"/>
    <w:tmpl w:val="98B62C06"/>
    <w:lvl w:ilvl="0" w:tplc="AC92E53C">
      <w:start w:val="1"/>
      <w:numFmt w:val="lowerLetter"/>
      <w:lvlText w:val="%1."/>
      <w:lvlJc w:val="left"/>
      <w:pPr>
        <w:ind w:left="720" w:hanging="360"/>
      </w:pPr>
      <w:rPr>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7E954EF"/>
    <w:multiLevelType w:val="hybridMultilevel"/>
    <w:tmpl w:val="3EA22F4A"/>
    <w:lvl w:ilvl="0" w:tplc="7B8C2A54">
      <w:start w:val="1"/>
      <w:numFmt w:val="bullet"/>
      <w:pStyle w:val="Zkladntextodsazen"/>
      <w:lvlText w:val="–"/>
      <w:lvlJc w:val="left"/>
      <w:pPr>
        <w:tabs>
          <w:tab w:val="num" w:pos="567"/>
        </w:tabs>
        <w:ind w:left="567" w:hanging="567"/>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107CAF"/>
    <w:multiLevelType w:val="hybridMultilevel"/>
    <w:tmpl w:val="522485B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CEE5100"/>
    <w:multiLevelType w:val="hybridMultilevel"/>
    <w:tmpl w:val="77F6B086"/>
    <w:lvl w:ilvl="0" w:tplc="6848FAC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0821EC"/>
    <w:multiLevelType w:val="hybridMultilevel"/>
    <w:tmpl w:val="90488EB0"/>
    <w:lvl w:ilvl="0" w:tplc="7E68C5EA">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3336968"/>
    <w:multiLevelType w:val="hybridMultilevel"/>
    <w:tmpl w:val="1E6A2562"/>
    <w:lvl w:ilvl="0" w:tplc="376CB1B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6A35098"/>
    <w:multiLevelType w:val="multilevel"/>
    <w:tmpl w:val="EF18ED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b w:val="0"/>
        <w:i/>
        <w:sz w:val="20"/>
        <w:szCs w:val="20"/>
      </w:rPr>
    </w:lvl>
    <w:lvl w:ilvl="3">
      <w:start w:val="1"/>
      <w:numFmt w:val="decimal"/>
      <w:isLgl/>
      <w:lvlText w:val="%1.%2.%3.%4."/>
      <w:lvlJc w:val="left"/>
      <w:pPr>
        <w:ind w:left="107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6AE74CA"/>
    <w:multiLevelType w:val="hybridMultilevel"/>
    <w:tmpl w:val="98B62C06"/>
    <w:lvl w:ilvl="0" w:tplc="AC92E53C">
      <w:start w:val="1"/>
      <w:numFmt w:val="lowerLetter"/>
      <w:lvlText w:val="%1."/>
      <w:lvlJc w:val="left"/>
      <w:pPr>
        <w:ind w:left="720" w:hanging="360"/>
      </w:pPr>
      <w:rPr>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96B569C"/>
    <w:multiLevelType w:val="hybridMultilevel"/>
    <w:tmpl w:val="1B3406DA"/>
    <w:lvl w:ilvl="0" w:tplc="6C9E5302">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BEC6120"/>
    <w:multiLevelType w:val="hybridMultilevel"/>
    <w:tmpl w:val="7622735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D822851"/>
    <w:multiLevelType w:val="hybridMultilevel"/>
    <w:tmpl w:val="A260ADAE"/>
    <w:lvl w:ilvl="0" w:tplc="17C2B7A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EBC45B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6"/>
  </w:num>
  <w:num w:numId="3">
    <w:abstractNumId w:val="26"/>
  </w:num>
  <w:num w:numId="4">
    <w:abstractNumId w:val="15"/>
  </w:num>
  <w:num w:numId="5">
    <w:abstractNumId w:val="11"/>
  </w:num>
  <w:num w:numId="6">
    <w:abstractNumId w:val="3"/>
  </w:num>
  <w:num w:numId="7">
    <w:abstractNumId w:val="9"/>
  </w:num>
  <w:num w:numId="8">
    <w:abstractNumId w:val="27"/>
  </w:num>
  <w:num w:numId="9">
    <w:abstractNumId w:val="16"/>
  </w:num>
  <w:num w:numId="10">
    <w:abstractNumId w:val="14"/>
  </w:num>
  <w:num w:numId="11">
    <w:abstractNumId w:val="5"/>
  </w:num>
  <w:num w:numId="12">
    <w:abstractNumId w:val="23"/>
  </w:num>
  <w:num w:numId="13">
    <w:abstractNumId w:val="7"/>
  </w:num>
  <w:num w:numId="14">
    <w:abstractNumId w:val="0"/>
  </w:num>
  <w:num w:numId="15">
    <w:abstractNumId w:val="25"/>
  </w:num>
  <w:num w:numId="16">
    <w:abstractNumId w:val="28"/>
  </w:num>
  <w:num w:numId="17">
    <w:abstractNumId w:val="19"/>
  </w:num>
  <w:num w:numId="18">
    <w:abstractNumId w:val="12"/>
  </w:num>
  <w:num w:numId="19">
    <w:abstractNumId w:val="31"/>
  </w:num>
  <w:num w:numId="20">
    <w:abstractNumId w:val="8"/>
  </w:num>
  <w:num w:numId="21">
    <w:abstractNumId w:val="17"/>
  </w:num>
  <w:num w:numId="22">
    <w:abstractNumId w:val="22"/>
  </w:num>
  <w:num w:numId="23">
    <w:abstractNumId w:val="10"/>
  </w:num>
  <w:num w:numId="24">
    <w:abstractNumId w:val="4"/>
  </w:num>
  <w:num w:numId="25">
    <w:abstractNumId w:val="20"/>
  </w:num>
  <w:num w:numId="26">
    <w:abstractNumId w:val="30"/>
  </w:num>
  <w:num w:numId="27">
    <w:abstractNumId w:val="2"/>
  </w:num>
  <w:num w:numId="28">
    <w:abstractNumId w:val="1"/>
  </w:num>
  <w:num w:numId="29">
    <w:abstractNumId w:val="24"/>
  </w:num>
  <w:num w:numId="30">
    <w:abstractNumId w:val="13"/>
  </w:num>
  <w:num w:numId="31">
    <w:abstractNumId w:val="18"/>
  </w:num>
  <w:num w:numId="32">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27"/>
  <w:hyphenationZone w:val="357"/>
  <w:doNotHyphenateCap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A6"/>
    <w:rsid w:val="00001D5C"/>
    <w:rsid w:val="00001F2D"/>
    <w:rsid w:val="000032F0"/>
    <w:rsid w:val="00004241"/>
    <w:rsid w:val="00015FA7"/>
    <w:rsid w:val="00020E18"/>
    <w:rsid w:val="00022AAB"/>
    <w:rsid w:val="000239E0"/>
    <w:rsid w:val="00024BA7"/>
    <w:rsid w:val="00027DFC"/>
    <w:rsid w:val="00031D90"/>
    <w:rsid w:val="000339E1"/>
    <w:rsid w:val="00033D33"/>
    <w:rsid w:val="00036F85"/>
    <w:rsid w:val="00037C15"/>
    <w:rsid w:val="00040912"/>
    <w:rsid w:val="00041E43"/>
    <w:rsid w:val="000426DE"/>
    <w:rsid w:val="00042DEB"/>
    <w:rsid w:val="00043140"/>
    <w:rsid w:val="00044F06"/>
    <w:rsid w:val="00046BD4"/>
    <w:rsid w:val="00047791"/>
    <w:rsid w:val="00047B93"/>
    <w:rsid w:val="00050B6E"/>
    <w:rsid w:val="00050F7B"/>
    <w:rsid w:val="00051474"/>
    <w:rsid w:val="000516D6"/>
    <w:rsid w:val="000537E5"/>
    <w:rsid w:val="00053DFC"/>
    <w:rsid w:val="00056668"/>
    <w:rsid w:val="00056BD6"/>
    <w:rsid w:val="00060B99"/>
    <w:rsid w:val="00062178"/>
    <w:rsid w:val="00063713"/>
    <w:rsid w:val="00063EA8"/>
    <w:rsid w:val="00063F4B"/>
    <w:rsid w:val="000653C9"/>
    <w:rsid w:val="000721D0"/>
    <w:rsid w:val="00075B03"/>
    <w:rsid w:val="000767E4"/>
    <w:rsid w:val="00080DB3"/>
    <w:rsid w:val="000814AE"/>
    <w:rsid w:val="00084434"/>
    <w:rsid w:val="000873D7"/>
    <w:rsid w:val="0008774A"/>
    <w:rsid w:val="00087936"/>
    <w:rsid w:val="00093A27"/>
    <w:rsid w:val="00094B07"/>
    <w:rsid w:val="00095010"/>
    <w:rsid w:val="000A2A9B"/>
    <w:rsid w:val="000A339C"/>
    <w:rsid w:val="000A4573"/>
    <w:rsid w:val="000A48BD"/>
    <w:rsid w:val="000A66F0"/>
    <w:rsid w:val="000B0426"/>
    <w:rsid w:val="000B070F"/>
    <w:rsid w:val="000B4961"/>
    <w:rsid w:val="000B4B17"/>
    <w:rsid w:val="000C224C"/>
    <w:rsid w:val="000C2396"/>
    <w:rsid w:val="000C3954"/>
    <w:rsid w:val="000C44BA"/>
    <w:rsid w:val="000D0A25"/>
    <w:rsid w:val="000D13EA"/>
    <w:rsid w:val="000D22C5"/>
    <w:rsid w:val="000D2463"/>
    <w:rsid w:val="000D432F"/>
    <w:rsid w:val="000D447E"/>
    <w:rsid w:val="000D6202"/>
    <w:rsid w:val="000E1AFE"/>
    <w:rsid w:val="000E1ED8"/>
    <w:rsid w:val="000E3158"/>
    <w:rsid w:val="000E509B"/>
    <w:rsid w:val="000E5123"/>
    <w:rsid w:val="000E74EB"/>
    <w:rsid w:val="000F0000"/>
    <w:rsid w:val="000F050E"/>
    <w:rsid w:val="000F14E3"/>
    <w:rsid w:val="000F4FD7"/>
    <w:rsid w:val="000F5D1A"/>
    <w:rsid w:val="000F741D"/>
    <w:rsid w:val="00100A2E"/>
    <w:rsid w:val="0010180E"/>
    <w:rsid w:val="00103A80"/>
    <w:rsid w:val="00106E53"/>
    <w:rsid w:val="00112806"/>
    <w:rsid w:val="00113C4D"/>
    <w:rsid w:val="00114BE2"/>
    <w:rsid w:val="001157FE"/>
    <w:rsid w:val="001165C5"/>
    <w:rsid w:val="00116B5F"/>
    <w:rsid w:val="001267FC"/>
    <w:rsid w:val="00127715"/>
    <w:rsid w:val="0013100B"/>
    <w:rsid w:val="0013350B"/>
    <w:rsid w:val="00134863"/>
    <w:rsid w:val="001350DC"/>
    <w:rsid w:val="001365D1"/>
    <w:rsid w:val="00137A9E"/>
    <w:rsid w:val="00140A2A"/>
    <w:rsid w:val="00140EF1"/>
    <w:rsid w:val="00144CE1"/>
    <w:rsid w:val="001463C6"/>
    <w:rsid w:val="00146FDA"/>
    <w:rsid w:val="00152762"/>
    <w:rsid w:val="001551C2"/>
    <w:rsid w:val="0015559D"/>
    <w:rsid w:val="00162F35"/>
    <w:rsid w:val="0016725C"/>
    <w:rsid w:val="00167708"/>
    <w:rsid w:val="0017083A"/>
    <w:rsid w:val="00175EFD"/>
    <w:rsid w:val="0018159B"/>
    <w:rsid w:val="00183FFE"/>
    <w:rsid w:val="00185BCB"/>
    <w:rsid w:val="001868D5"/>
    <w:rsid w:val="001949B9"/>
    <w:rsid w:val="00194F6D"/>
    <w:rsid w:val="0019627D"/>
    <w:rsid w:val="001A04FB"/>
    <w:rsid w:val="001A168E"/>
    <w:rsid w:val="001A1791"/>
    <w:rsid w:val="001A2CBA"/>
    <w:rsid w:val="001A2FBC"/>
    <w:rsid w:val="001A7B7D"/>
    <w:rsid w:val="001A7FEE"/>
    <w:rsid w:val="001B0194"/>
    <w:rsid w:val="001B390A"/>
    <w:rsid w:val="001B5062"/>
    <w:rsid w:val="001B54BB"/>
    <w:rsid w:val="001C0157"/>
    <w:rsid w:val="001C121A"/>
    <w:rsid w:val="001C1F1E"/>
    <w:rsid w:val="001C2471"/>
    <w:rsid w:val="001C4238"/>
    <w:rsid w:val="001C58E0"/>
    <w:rsid w:val="001C5ED0"/>
    <w:rsid w:val="001C6ED3"/>
    <w:rsid w:val="001C7B7F"/>
    <w:rsid w:val="001D0163"/>
    <w:rsid w:val="001D02A2"/>
    <w:rsid w:val="001D135E"/>
    <w:rsid w:val="001D143B"/>
    <w:rsid w:val="001D1BCF"/>
    <w:rsid w:val="001D476D"/>
    <w:rsid w:val="001D5DC7"/>
    <w:rsid w:val="001D74DD"/>
    <w:rsid w:val="001E16C0"/>
    <w:rsid w:val="001E2D9E"/>
    <w:rsid w:val="001E536D"/>
    <w:rsid w:val="001E5F93"/>
    <w:rsid w:val="001F028C"/>
    <w:rsid w:val="001F1D3D"/>
    <w:rsid w:val="001F3246"/>
    <w:rsid w:val="001F6062"/>
    <w:rsid w:val="00200BC4"/>
    <w:rsid w:val="002028BD"/>
    <w:rsid w:val="00203B9D"/>
    <w:rsid w:val="0020491B"/>
    <w:rsid w:val="00204B70"/>
    <w:rsid w:val="00206415"/>
    <w:rsid w:val="002105ED"/>
    <w:rsid w:val="00211DE8"/>
    <w:rsid w:val="00212F4A"/>
    <w:rsid w:val="00214C11"/>
    <w:rsid w:val="00214CD4"/>
    <w:rsid w:val="0021597E"/>
    <w:rsid w:val="002164AC"/>
    <w:rsid w:val="00222B4F"/>
    <w:rsid w:val="00223F32"/>
    <w:rsid w:val="0022579C"/>
    <w:rsid w:val="0022593E"/>
    <w:rsid w:val="00227589"/>
    <w:rsid w:val="00227F2E"/>
    <w:rsid w:val="00231546"/>
    <w:rsid w:val="002319F3"/>
    <w:rsid w:val="00234194"/>
    <w:rsid w:val="00234351"/>
    <w:rsid w:val="002345D1"/>
    <w:rsid w:val="00235670"/>
    <w:rsid w:val="002412A0"/>
    <w:rsid w:val="002442C2"/>
    <w:rsid w:val="00245248"/>
    <w:rsid w:val="00247FC2"/>
    <w:rsid w:val="002503C9"/>
    <w:rsid w:val="002514CA"/>
    <w:rsid w:val="00251D4A"/>
    <w:rsid w:val="00254269"/>
    <w:rsid w:val="0025534B"/>
    <w:rsid w:val="002569D4"/>
    <w:rsid w:val="00257553"/>
    <w:rsid w:val="00257FE6"/>
    <w:rsid w:val="00260C24"/>
    <w:rsid w:val="00263BB8"/>
    <w:rsid w:val="00264BA8"/>
    <w:rsid w:val="00267321"/>
    <w:rsid w:val="0027069B"/>
    <w:rsid w:val="00272732"/>
    <w:rsid w:val="00273E54"/>
    <w:rsid w:val="00275F41"/>
    <w:rsid w:val="00277BD6"/>
    <w:rsid w:val="00277E32"/>
    <w:rsid w:val="0028069C"/>
    <w:rsid w:val="0028087D"/>
    <w:rsid w:val="00280F04"/>
    <w:rsid w:val="00286C78"/>
    <w:rsid w:val="0029315D"/>
    <w:rsid w:val="002A05E7"/>
    <w:rsid w:val="002A60ED"/>
    <w:rsid w:val="002B18BD"/>
    <w:rsid w:val="002B307B"/>
    <w:rsid w:val="002B40D4"/>
    <w:rsid w:val="002B53CF"/>
    <w:rsid w:val="002B6011"/>
    <w:rsid w:val="002C034C"/>
    <w:rsid w:val="002C0D29"/>
    <w:rsid w:val="002C1184"/>
    <w:rsid w:val="002C129A"/>
    <w:rsid w:val="002C40C3"/>
    <w:rsid w:val="002C45A5"/>
    <w:rsid w:val="002C524A"/>
    <w:rsid w:val="002C76FB"/>
    <w:rsid w:val="002D19F6"/>
    <w:rsid w:val="002D503B"/>
    <w:rsid w:val="002D743E"/>
    <w:rsid w:val="002E1A3F"/>
    <w:rsid w:val="002E1DA8"/>
    <w:rsid w:val="002E1F73"/>
    <w:rsid w:val="002E216B"/>
    <w:rsid w:val="002E3F73"/>
    <w:rsid w:val="002E5B2A"/>
    <w:rsid w:val="002E6E41"/>
    <w:rsid w:val="002E7871"/>
    <w:rsid w:val="002E7F07"/>
    <w:rsid w:val="002F0424"/>
    <w:rsid w:val="002F3498"/>
    <w:rsid w:val="002F42AE"/>
    <w:rsid w:val="002F6437"/>
    <w:rsid w:val="002F6D79"/>
    <w:rsid w:val="0030241D"/>
    <w:rsid w:val="003038D0"/>
    <w:rsid w:val="00303AC3"/>
    <w:rsid w:val="003055CC"/>
    <w:rsid w:val="0031147B"/>
    <w:rsid w:val="00320044"/>
    <w:rsid w:val="00325101"/>
    <w:rsid w:val="0032569B"/>
    <w:rsid w:val="00326749"/>
    <w:rsid w:val="003338E6"/>
    <w:rsid w:val="0033433F"/>
    <w:rsid w:val="003360F8"/>
    <w:rsid w:val="00337161"/>
    <w:rsid w:val="00340DF6"/>
    <w:rsid w:val="00344EA9"/>
    <w:rsid w:val="00346EB0"/>
    <w:rsid w:val="0034731C"/>
    <w:rsid w:val="00350339"/>
    <w:rsid w:val="003509E0"/>
    <w:rsid w:val="003516AC"/>
    <w:rsid w:val="00351B10"/>
    <w:rsid w:val="0035448D"/>
    <w:rsid w:val="00354EB0"/>
    <w:rsid w:val="003607B6"/>
    <w:rsid w:val="003611FB"/>
    <w:rsid w:val="00362F1E"/>
    <w:rsid w:val="00366289"/>
    <w:rsid w:val="00366F47"/>
    <w:rsid w:val="003705A7"/>
    <w:rsid w:val="00370FB2"/>
    <w:rsid w:val="00371627"/>
    <w:rsid w:val="00371E48"/>
    <w:rsid w:val="00372102"/>
    <w:rsid w:val="00376A6E"/>
    <w:rsid w:val="00380681"/>
    <w:rsid w:val="003831D1"/>
    <w:rsid w:val="00385A0D"/>
    <w:rsid w:val="003903B1"/>
    <w:rsid w:val="003904EC"/>
    <w:rsid w:val="003905DF"/>
    <w:rsid w:val="00390F6A"/>
    <w:rsid w:val="0039181F"/>
    <w:rsid w:val="0039501B"/>
    <w:rsid w:val="00395F4C"/>
    <w:rsid w:val="003A2E41"/>
    <w:rsid w:val="003A4A2F"/>
    <w:rsid w:val="003A4AD7"/>
    <w:rsid w:val="003A57F1"/>
    <w:rsid w:val="003A63EF"/>
    <w:rsid w:val="003A68E7"/>
    <w:rsid w:val="003A7631"/>
    <w:rsid w:val="003B1365"/>
    <w:rsid w:val="003B58F2"/>
    <w:rsid w:val="003B7B62"/>
    <w:rsid w:val="003C042D"/>
    <w:rsid w:val="003C28AE"/>
    <w:rsid w:val="003C6D2C"/>
    <w:rsid w:val="003C772A"/>
    <w:rsid w:val="003D373B"/>
    <w:rsid w:val="003E1A90"/>
    <w:rsid w:val="003E1C2C"/>
    <w:rsid w:val="003E3601"/>
    <w:rsid w:val="003E42C7"/>
    <w:rsid w:val="003E6937"/>
    <w:rsid w:val="003F01CE"/>
    <w:rsid w:val="003F292D"/>
    <w:rsid w:val="003F39CF"/>
    <w:rsid w:val="0040113F"/>
    <w:rsid w:val="0041377D"/>
    <w:rsid w:val="00413837"/>
    <w:rsid w:val="0041452C"/>
    <w:rsid w:val="00414D93"/>
    <w:rsid w:val="00415149"/>
    <w:rsid w:val="00415868"/>
    <w:rsid w:val="00415FAB"/>
    <w:rsid w:val="00416DEE"/>
    <w:rsid w:val="00421347"/>
    <w:rsid w:val="00423817"/>
    <w:rsid w:val="004248B7"/>
    <w:rsid w:val="00426840"/>
    <w:rsid w:val="00431478"/>
    <w:rsid w:val="00431AA8"/>
    <w:rsid w:val="00432A41"/>
    <w:rsid w:val="00434105"/>
    <w:rsid w:val="00434F5C"/>
    <w:rsid w:val="0043693B"/>
    <w:rsid w:val="004402E0"/>
    <w:rsid w:val="00440F1F"/>
    <w:rsid w:val="00441B76"/>
    <w:rsid w:val="00443271"/>
    <w:rsid w:val="00445730"/>
    <w:rsid w:val="0044712D"/>
    <w:rsid w:val="00447E80"/>
    <w:rsid w:val="00450F01"/>
    <w:rsid w:val="004535C0"/>
    <w:rsid w:val="0045401E"/>
    <w:rsid w:val="00454624"/>
    <w:rsid w:val="00457B98"/>
    <w:rsid w:val="00462770"/>
    <w:rsid w:val="0046325E"/>
    <w:rsid w:val="00464881"/>
    <w:rsid w:val="00466366"/>
    <w:rsid w:val="004677C5"/>
    <w:rsid w:val="00467B85"/>
    <w:rsid w:val="00471370"/>
    <w:rsid w:val="004713D3"/>
    <w:rsid w:val="00473722"/>
    <w:rsid w:val="00473E60"/>
    <w:rsid w:val="00473FCC"/>
    <w:rsid w:val="00475828"/>
    <w:rsid w:val="00475D20"/>
    <w:rsid w:val="00482E68"/>
    <w:rsid w:val="00482F24"/>
    <w:rsid w:val="0048379A"/>
    <w:rsid w:val="004849C4"/>
    <w:rsid w:val="00485D1F"/>
    <w:rsid w:val="00487333"/>
    <w:rsid w:val="00487A39"/>
    <w:rsid w:val="00490448"/>
    <w:rsid w:val="00490CCD"/>
    <w:rsid w:val="00490EFB"/>
    <w:rsid w:val="004915E2"/>
    <w:rsid w:val="00491801"/>
    <w:rsid w:val="00491FA0"/>
    <w:rsid w:val="00492372"/>
    <w:rsid w:val="00492523"/>
    <w:rsid w:val="00494862"/>
    <w:rsid w:val="004955C7"/>
    <w:rsid w:val="004A262C"/>
    <w:rsid w:val="004A2901"/>
    <w:rsid w:val="004A37F7"/>
    <w:rsid w:val="004A4EBB"/>
    <w:rsid w:val="004A5F3E"/>
    <w:rsid w:val="004A74C7"/>
    <w:rsid w:val="004A7A45"/>
    <w:rsid w:val="004B2C79"/>
    <w:rsid w:val="004B61EF"/>
    <w:rsid w:val="004B68C3"/>
    <w:rsid w:val="004B6F3E"/>
    <w:rsid w:val="004C3044"/>
    <w:rsid w:val="004C57DF"/>
    <w:rsid w:val="004D165C"/>
    <w:rsid w:val="004D1796"/>
    <w:rsid w:val="004D2EEA"/>
    <w:rsid w:val="004D394D"/>
    <w:rsid w:val="004D78FE"/>
    <w:rsid w:val="004E0181"/>
    <w:rsid w:val="004E74A7"/>
    <w:rsid w:val="004E7B97"/>
    <w:rsid w:val="004F1E2A"/>
    <w:rsid w:val="004F34E1"/>
    <w:rsid w:val="004F4D40"/>
    <w:rsid w:val="004F5497"/>
    <w:rsid w:val="00500272"/>
    <w:rsid w:val="0050033A"/>
    <w:rsid w:val="00500CB5"/>
    <w:rsid w:val="00505EEB"/>
    <w:rsid w:val="005066F5"/>
    <w:rsid w:val="00506704"/>
    <w:rsid w:val="00513B12"/>
    <w:rsid w:val="00514101"/>
    <w:rsid w:val="00514200"/>
    <w:rsid w:val="005200CD"/>
    <w:rsid w:val="00521B9A"/>
    <w:rsid w:val="00524B14"/>
    <w:rsid w:val="00524ED0"/>
    <w:rsid w:val="00527DA8"/>
    <w:rsid w:val="005376EA"/>
    <w:rsid w:val="00537B0A"/>
    <w:rsid w:val="00541A3B"/>
    <w:rsid w:val="00542728"/>
    <w:rsid w:val="00542D6E"/>
    <w:rsid w:val="00543958"/>
    <w:rsid w:val="005441E0"/>
    <w:rsid w:val="0054665B"/>
    <w:rsid w:val="005507BB"/>
    <w:rsid w:val="00552705"/>
    <w:rsid w:val="005534B2"/>
    <w:rsid w:val="00554B7A"/>
    <w:rsid w:val="00555584"/>
    <w:rsid w:val="005576A9"/>
    <w:rsid w:val="00562235"/>
    <w:rsid w:val="00562DE6"/>
    <w:rsid w:val="00563CE7"/>
    <w:rsid w:val="00564D5E"/>
    <w:rsid w:val="005668B7"/>
    <w:rsid w:val="005678C9"/>
    <w:rsid w:val="00572A28"/>
    <w:rsid w:val="00572D77"/>
    <w:rsid w:val="00573236"/>
    <w:rsid w:val="00576495"/>
    <w:rsid w:val="00580AB0"/>
    <w:rsid w:val="005819D5"/>
    <w:rsid w:val="0058678D"/>
    <w:rsid w:val="00590AE4"/>
    <w:rsid w:val="0059125D"/>
    <w:rsid w:val="005916AF"/>
    <w:rsid w:val="00592C00"/>
    <w:rsid w:val="00593041"/>
    <w:rsid w:val="00593DAA"/>
    <w:rsid w:val="00595B84"/>
    <w:rsid w:val="0059657F"/>
    <w:rsid w:val="005A3E44"/>
    <w:rsid w:val="005B32A3"/>
    <w:rsid w:val="005B4ACC"/>
    <w:rsid w:val="005B5EC7"/>
    <w:rsid w:val="005B5FFC"/>
    <w:rsid w:val="005B6DAB"/>
    <w:rsid w:val="005C11B6"/>
    <w:rsid w:val="005C5BD2"/>
    <w:rsid w:val="005D1158"/>
    <w:rsid w:val="005D6008"/>
    <w:rsid w:val="005D73EB"/>
    <w:rsid w:val="005D778B"/>
    <w:rsid w:val="005E32A6"/>
    <w:rsid w:val="005E344B"/>
    <w:rsid w:val="005E4C64"/>
    <w:rsid w:val="005E5FB1"/>
    <w:rsid w:val="005E7224"/>
    <w:rsid w:val="005E7ABF"/>
    <w:rsid w:val="005F20EF"/>
    <w:rsid w:val="005F3597"/>
    <w:rsid w:val="005F4210"/>
    <w:rsid w:val="005F42F1"/>
    <w:rsid w:val="005F4939"/>
    <w:rsid w:val="005F7500"/>
    <w:rsid w:val="00604D83"/>
    <w:rsid w:val="00610C1C"/>
    <w:rsid w:val="006114D7"/>
    <w:rsid w:val="00613EE7"/>
    <w:rsid w:val="00620F95"/>
    <w:rsid w:val="006219BF"/>
    <w:rsid w:val="00623B17"/>
    <w:rsid w:val="006269DE"/>
    <w:rsid w:val="006271F2"/>
    <w:rsid w:val="006314A3"/>
    <w:rsid w:val="006323CF"/>
    <w:rsid w:val="00633A52"/>
    <w:rsid w:val="00635EC9"/>
    <w:rsid w:val="00636D07"/>
    <w:rsid w:val="00640F9D"/>
    <w:rsid w:val="00641CB2"/>
    <w:rsid w:val="00645419"/>
    <w:rsid w:val="0064738E"/>
    <w:rsid w:val="0064753F"/>
    <w:rsid w:val="00651514"/>
    <w:rsid w:val="00654669"/>
    <w:rsid w:val="00654B93"/>
    <w:rsid w:val="00654D83"/>
    <w:rsid w:val="00656669"/>
    <w:rsid w:val="0065690E"/>
    <w:rsid w:val="00661419"/>
    <w:rsid w:val="00663906"/>
    <w:rsid w:val="00663CAD"/>
    <w:rsid w:val="00664FCD"/>
    <w:rsid w:val="0066500F"/>
    <w:rsid w:val="00670DF2"/>
    <w:rsid w:val="006713FF"/>
    <w:rsid w:val="0067472C"/>
    <w:rsid w:val="006751F8"/>
    <w:rsid w:val="00675C63"/>
    <w:rsid w:val="00677B8F"/>
    <w:rsid w:val="0068346E"/>
    <w:rsid w:val="00686B17"/>
    <w:rsid w:val="00687AB6"/>
    <w:rsid w:val="00687F9C"/>
    <w:rsid w:val="0069216C"/>
    <w:rsid w:val="006923EE"/>
    <w:rsid w:val="00692912"/>
    <w:rsid w:val="006940A5"/>
    <w:rsid w:val="00694907"/>
    <w:rsid w:val="00695002"/>
    <w:rsid w:val="00696204"/>
    <w:rsid w:val="006A481F"/>
    <w:rsid w:val="006A6DD5"/>
    <w:rsid w:val="006B2668"/>
    <w:rsid w:val="006B49B3"/>
    <w:rsid w:val="006B5746"/>
    <w:rsid w:val="006B59F7"/>
    <w:rsid w:val="006C0F4A"/>
    <w:rsid w:val="006C2A9C"/>
    <w:rsid w:val="006C4DD9"/>
    <w:rsid w:val="006C5100"/>
    <w:rsid w:val="006C54C6"/>
    <w:rsid w:val="006C76A4"/>
    <w:rsid w:val="006D101D"/>
    <w:rsid w:val="006D15F7"/>
    <w:rsid w:val="006D4C6D"/>
    <w:rsid w:val="006E094F"/>
    <w:rsid w:val="006E2B3E"/>
    <w:rsid w:val="006E7ACF"/>
    <w:rsid w:val="006F09AE"/>
    <w:rsid w:val="006F2304"/>
    <w:rsid w:val="006F3489"/>
    <w:rsid w:val="006F5455"/>
    <w:rsid w:val="007007E8"/>
    <w:rsid w:val="00700C79"/>
    <w:rsid w:val="00702809"/>
    <w:rsid w:val="007030DC"/>
    <w:rsid w:val="00704E72"/>
    <w:rsid w:val="007061E0"/>
    <w:rsid w:val="007077A5"/>
    <w:rsid w:val="007100D0"/>
    <w:rsid w:val="00710CCA"/>
    <w:rsid w:val="00711171"/>
    <w:rsid w:val="00711C06"/>
    <w:rsid w:val="00711D38"/>
    <w:rsid w:val="00713B0D"/>
    <w:rsid w:val="00714D2C"/>
    <w:rsid w:val="007205AE"/>
    <w:rsid w:val="007212BB"/>
    <w:rsid w:val="0072225B"/>
    <w:rsid w:val="007252FF"/>
    <w:rsid w:val="00726573"/>
    <w:rsid w:val="00727320"/>
    <w:rsid w:val="00730623"/>
    <w:rsid w:val="00731398"/>
    <w:rsid w:val="00731C93"/>
    <w:rsid w:val="00733D19"/>
    <w:rsid w:val="00735CC1"/>
    <w:rsid w:val="0073696F"/>
    <w:rsid w:val="00737884"/>
    <w:rsid w:val="00741A1C"/>
    <w:rsid w:val="00743010"/>
    <w:rsid w:val="00743922"/>
    <w:rsid w:val="00750FCF"/>
    <w:rsid w:val="00752D4B"/>
    <w:rsid w:val="00752EC1"/>
    <w:rsid w:val="007534C2"/>
    <w:rsid w:val="00754DB4"/>
    <w:rsid w:val="00755277"/>
    <w:rsid w:val="00757B11"/>
    <w:rsid w:val="00760308"/>
    <w:rsid w:val="00760630"/>
    <w:rsid w:val="00762825"/>
    <w:rsid w:val="00763091"/>
    <w:rsid w:val="00767E17"/>
    <w:rsid w:val="0077122F"/>
    <w:rsid w:val="00773633"/>
    <w:rsid w:val="00774825"/>
    <w:rsid w:val="00774D4C"/>
    <w:rsid w:val="00774EDA"/>
    <w:rsid w:val="00777489"/>
    <w:rsid w:val="007779D6"/>
    <w:rsid w:val="0078008C"/>
    <w:rsid w:val="00782E13"/>
    <w:rsid w:val="0078433F"/>
    <w:rsid w:val="00784B03"/>
    <w:rsid w:val="00785EDC"/>
    <w:rsid w:val="00786660"/>
    <w:rsid w:val="00786E74"/>
    <w:rsid w:val="007879E3"/>
    <w:rsid w:val="007907E6"/>
    <w:rsid w:val="0079562E"/>
    <w:rsid w:val="007A1180"/>
    <w:rsid w:val="007A2B4E"/>
    <w:rsid w:val="007A38C0"/>
    <w:rsid w:val="007A3F00"/>
    <w:rsid w:val="007B242A"/>
    <w:rsid w:val="007B4163"/>
    <w:rsid w:val="007B64B0"/>
    <w:rsid w:val="007C2389"/>
    <w:rsid w:val="007C4894"/>
    <w:rsid w:val="007C5AF0"/>
    <w:rsid w:val="007C5D86"/>
    <w:rsid w:val="007D0145"/>
    <w:rsid w:val="007D66C7"/>
    <w:rsid w:val="007E06D7"/>
    <w:rsid w:val="007E1216"/>
    <w:rsid w:val="007E352C"/>
    <w:rsid w:val="007E7257"/>
    <w:rsid w:val="007F04D1"/>
    <w:rsid w:val="008004AB"/>
    <w:rsid w:val="00801306"/>
    <w:rsid w:val="008031BB"/>
    <w:rsid w:val="00803A1D"/>
    <w:rsid w:val="008041FA"/>
    <w:rsid w:val="00804EE7"/>
    <w:rsid w:val="0080549F"/>
    <w:rsid w:val="008065F2"/>
    <w:rsid w:val="00812F74"/>
    <w:rsid w:val="008174E7"/>
    <w:rsid w:val="00817753"/>
    <w:rsid w:val="00817984"/>
    <w:rsid w:val="00820669"/>
    <w:rsid w:val="0082107A"/>
    <w:rsid w:val="00821240"/>
    <w:rsid w:val="008218B7"/>
    <w:rsid w:val="0082201B"/>
    <w:rsid w:val="00826FA8"/>
    <w:rsid w:val="008308C3"/>
    <w:rsid w:val="00832C6A"/>
    <w:rsid w:val="0083327E"/>
    <w:rsid w:val="0083358C"/>
    <w:rsid w:val="00840516"/>
    <w:rsid w:val="00840C61"/>
    <w:rsid w:val="008410CE"/>
    <w:rsid w:val="00841941"/>
    <w:rsid w:val="00843D00"/>
    <w:rsid w:val="00847AF5"/>
    <w:rsid w:val="008502E2"/>
    <w:rsid w:val="008533A6"/>
    <w:rsid w:val="00854946"/>
    <w:rsid w:val="00856BA7"/>
    <w:rsid w:val="00856C7C"/>
    <w:rsid w:val="0086129B"/>
    <w:rsid w:val="00866AD6"/>
    <w:rsid w:val="00867FF6"/>
    <w:rsid w:val="00870272"/>
    <w:rsid w:val="00870801"/>
    <w:rsid w:val="00875DD8"/>
    <w:rsid w:val="0088096D"/>
    <w:rsid w:val="008859B0"/>
    <w:rsid w:val="0088609D"/>
    <w:rsid w:val="008911F1"/>
    <w:rsid w:val="008949FF"/>
    <w:rsid w:val="00894FD3"/>
    <w:rsid w:val="00896432"/>
    <w:rsid w:val="00896584"/>
    <w:rsid w:val="008973DB"/>
    <w:rsid w:val="008A00D9"/>
    <w:rsid w:val="008A08AB"/>
    <w:rsid w:val="008A253C"/>
    <w:rsid w:val="008B0166"/>
    <w:rsid w:val="008B02BF"/>
    <w:rsid w:val="008B261B"/>
    <w:rsid w:val="008B36B1"/>
    <w:rsid w:val="008B4D7C"/>
    <w:rsid w:val="008C0DDA"/>
    <w:rsid w:val="008C1100"/>
    <w:rsid w:val="008C1383"/>
    <w:rsid w:val="008C6EDB"/>
    <w:rsid w:val="008D2B5D"/>
    <w:rsid w:val="008D2ED9"/>
    <w:rsid w:val="008D58F4"/>
    <w:rsid w:val="008E0060"/>
    <w:rsid w:val="008E06B9"/>
    <w:rsid w:val="008E0A87"/>
    <w:rsid w:val="008E304A"/>
    <w:rsid w:val="008E3921"/>
    <w:rsid w:val="008E4CC8"/>
    <w:rsid w:val="008E4FAE"/>
    <w:rsid w:val="008E5944"/>
    <w:rsid w:val="008E5B78"/>
    <w:rsid w:val="008F01DC"/>
    <w:rsid w:val="008F218C"/>
    <w:rsid w:val="008F515B"/>
    <w:rsid w:val="008F6FC5"/>
    <w:rsid w:val="00901533"/>
    <w:rsid w:val="00901598"/>
    <w:rsid w:val="009031E6"/>
    <w:rsid w:val="00903D79"/>
    <w:rsid w:val="0090472A"/>
    <w:rsid w:val="00905BA1"/>
    <w:rsid w:val="009106A7"/>
    <w:rsid w:val="00915E17"/>
    <w:rsid w:val="00915FD3"/>
    <w:rsid w:val="009214A1"/>
    <w:rsid w:val="00924341"/>
    <w:rsid w:val="0092459D"/>
    <w:rsid w:val="00925595"/>
    <w:rsid w:val="0092721F"/>
    <w:rsid w:val="009320C2"/>
    <w:rsid w:val="00933698"/>
    <w:rsid w:val="0093572E"/>
    <w:rsid w:val="0094189B"/>
    <w:rsid w:val="00944B65"/>
    <w:rsid w:val="00945CDE"/>
    <w:rsid w:val="0094614A"/>
    <w:rsid w:val="00946BA5"/>
    <w:rsid w:val="009470F3"/>
    <w:rsid w:val="00950FDF"/>
    <w:rsid w:val="00953DF3"/>
    <w:rsid w:val="00955FAD"/>
    <w:rsid w:val="0096408F"/>
    <w:rsid w:val="0096431D"/>
    <w:rsid w:val="009643E0"/>
    <w:rsid w:val="00964C17"/>
    <w:rsid w:val="0096548E"/>
    <w:rsid w:val="00966E54"/>
    <w:rsid w:val="00970C13"/>
    <w:rsid w:val="009723BB"/>
    <w:rsid w:val="00973060"/>
    <w:rsid w:val="00973AC1"/>
    <w:rsid w:val="00974B04"/>
    <w:rsid w:val="00976B8D"/>
    <w:rsid w:val="00980771"/>
    <w:rsid w:val="009809E5"/>
    <w:rsid w:val="00983B42"/>
    <w:rsid w:val="009858BC"/>
    <w:rsid w:val="00986A02"/>
    <w:rsid w:val="00986CD0"/>
    <w:rsid w:val="0099391E"/>
    <w:rsid w:val="009A0571"/>
    <w:rsid w:val="009A0CDA"/>
    <w:rsid w:val="009A3DB2"/>
    <w:rsid w:val="009A617C"/>
    <w:rsid w:val="009A62F2"/>
    <w:rsid w:val="009A6E8E"/>
    <w:rsid w:val="009A7D46"/>
    <w:rsid w:val="009B0314"/>
    <w:rsid w:val="009B2CE2"/>
    <w:rsid w:val="009B5775"/>
    <w:rsid w:val="009B6112"/>
    <w:rsid w:val="009B630F"/>
    <w:rsid w:val="009B7D55"/>
    <w:rsid w:val="009C0352"/>
    <w:rsid w:val="009C090F"/>
    <w:rsid w:val="009D3CDE"/>
    <w:rsid w:val="009D6F50"/>
    <w:rsid w:val="009D756B"/>
    <w:rsid w:val="009E076F"/>
    <w:rsid w:val="009E2A0C"/>
    <w:rsid w:val="009E2CCF"/>
    <w:rsid w:val="009E6E2B"/>
    <w:rsid w:val="009E7A50"/>
    <w:rsid w:val="009F190A"/>
    <w:rsid w:val="009F3125"/>
    <w:rsid w:val="009F3773"/>
    <w:rsid w:val="009F48BA"/>
    <w:rsid w:val="009F6E73"/>
    <w:rsid w:val="009F7FFA"/>
    <w:rsid w:val="00A02B6E"/>
    <w:rsid w:val="00A0520B"/>
    <w:rsid w:val="00A075DB"/>
    <w:rsid w:val="00A1011B"/>
    <w:rsid w:val="00A1107B"/>
    <w:rsid w:val="00A1180D"/>
    <w:rsid w:val="00A12D73"/>
    <w:rsid w:val="00A1360F"/>
    <w:rsid w:val="00A1489D"/>
    <w:rsid w:val="00A14E57"/>
    <w:rsid w:val="00A15795"/>
    <w:rsid w:val="00A1596A"/>
    <w:rsid w:val="00A15AC4"/>
    <w:rsid w:val="00A163E1"/>
    <w:rsid w:val="00A17A75"/>
    <w:rsid w:val="00A17E97"/>
    <w:rsid w:val="00A20208"/>
    <w:rsid w:val="00A21F26"/>
    <w:rsid w:val="00A21FDD"/>
    <w:rsid w:val="00A24673"/>
    <w:rsid w:val="00A251BA"/>
    <w:rsid w:val="00A257FE"/>
    <w:rsid w:val="00A2692C"/>
    <w:rsid w:val="00A26B30"/>
    <w:rsid w:val="00A362FA"/>
    <w:rsid w:val="00A36340"/>
    <w:rsid w:val="00A36CC2"/>
    <w:rsid w:val="00A404F1"/>
    <w:rsid w:val="00A4416B"/>
    <w:rsid w:val="00A51BFD"/>
    <w:rsid w:val="00A5230F"/>
    <w:rsid w:val="00A53E25"/>
    <w:rsid w:val="00A54474"/>
    <w:rsid w:val="00A56693"/>
    <w:rsid w:val="00A567C2"/>
    <w:rsid w:val="00A620B8"/>
    <w:rsid w:val="00A62343"/>
    <w:rsid w:val="00A647BD"/>
    <w:rsid w:val="00A64AE5"/>
    <w:rsid w:val="00A66018"/>
    <w:rsid w:val="00A672CF"/>
    <w:rsid w:val="00A718F8"/>
    <w:rsid w:val="00A74929"/>
    <w:rsid w:val="00A75E85"/>
    <w:rsid w:val="00A7793E"/>
    <w:rsid w:val="00A80134"/>
    <w:rsid w:val="00A81CDA"/>
    <w:rsid w:val="00A82B6D"/>
    <w:rsid w:val="00A82E5F"/>
    <w:rsid w:val="00A83419"/>
    <w:rsid w:val="00A84E6C"/>
    <w:rsid w:val="00A863C0"/>
    <w:rsid w:val="00A86E44"/>
    <w:rsid w:val="00A91E80"/>
    <w:rsid w:val="00A93FC4"/>
    <w:rsid w:val="00A94BE5"/>
    <w:rsid w:val="00A95026"/>
    <w:rsid w:val="00A967BC"/>
    <w:rsid w:val="00A9740D"/>
    <w:rsid w:val="00AA0FD0"/>
    <w:rsid w:val="00AA4527"/>
    <w:rsid w:val="00AA5D58"/>
    <w:rsid w:val="00AA60F6"/>
    <w:rsid w:val="00AA72AB"/>
    <w:rsid w:val="00AB0B60"/>
    <w:rsid w:val="00AB1CBA"/>
    <w:rsid w:val="00AB22A3"/>
    <w:rsid w:val="00AC04CA"/>
    <w:rsid w:val="00AC29F4"/>
    <w:rsid w:val="00AC3AD5"/>
    <w:rsid w:val="00AC5138"/>
    <w:rsid w:val="00AC5A97"/>
    <w:rsid w:val="00AC6783"/>
    <w:rsid w:val="00AD05F4"/>
    <w:rsid w:val="00AE13DF"/>
    <w:rsid w:val="00AE1520"/>
    <w:rsid w:val="00AE3024"/>
    <w:rsid w:val="00AE4B92"/>
    <w:rsid w:val="00AE5AC5"/>
    <w:rsid w:val="00AE5CF9"/>
    <w:rsid w:val="00AE719B"/>
    <w:rsid w:val="00AE75EE"/>
    <w:rsid w:val="00AF0581"/>
    <w:rsid w:val="00AF0803"/>
    <w:rsid w:val="00AF1CEF"/>
    <w:rsid w:val="00AF4481"/>
    <w:rsid w:val="00AF69F1"/>
    <w:rsid w:val="00B0244F"/>
    <w:rsid w:val="00B0498B"/>
    <w:rsid w:val="00B07143"/>
    <w:rsid w:val="00B07670"/>
    <w:rsid w:val="00B11B2A"/>
    <w:rsid w:val="00B12344"/>
    <w:rsid w:val="00B136D5"/>
    <w:rsid w:val="00B13BE1"/>
    <w:rsid w:val="00B140CC"/>
    <w:rsid w:val="00B15375"/>
    <w:rsid w:val="00B16019"/>
    <w:rsid w:val="00B20672"/>
    <w:rsid w:val="00B22F74"/>
    <w:rsid w:val="00B246A1"/>
    <w:rsid w:val="00B33BA3"/>
    <w:rsid w:val="00B33C8A"/>
    <w:rsid w:val="00B342CD"/>
    <w:rsid w:val="00B369F9"/>
    <w:rsid w:val="00B36CAC"/>
    <w:rsid w:val="00B36DF6"/>
    <w:rsid w:val="00B4185B"/>
    <w:rsid w:val="00B420B1"/>
    <w:rsid w:val="00B4267D"/>
    <w:rsid w:val="00B42D9F"/>
    <w:rsid w:val="00B436DE"/>
    <w:rsid w:val="00B45BCA"/>
    <w:rsid w:val="00B45EBC"/>
    <w:rsid w:val="00B467F8"/>
    <w:rsid w:val="00B50E4F"/>
    <w:rsid w:val="00B5112D"/>
    <w:rsid w:val="00B5168E"/>
    <w:rsid w:val="00B55E36"/>
    <w:rsid w:val="00B56296"/>
    <w:rsid w:val="00B56AA3"/>
    <w:rsid w:val="00B577ED"/>
    <w:rsid w:val="00B57922"/>
    <w:rsid w:val="00B57C88"/>
    <w:rsid w:val="00B6142D"/>
    <w:rsid w:val="00B617A1"/>
    <w:rsid w:val="00B64036"/>
    <w:rsid w:val="00B6719E"/>
    <w:rsid w:val="00B67736"/>
    <w:rsid w:val="00B67A25"/>
    <w:rsid w:val="00B72323"/>
    <w:rsid w:val="00B73D4E"/>
    <w:rsid w:val="00B75909"/>
    <w:rsid w:val="00B759E1"/>
    <w:rsid w:val="00B7619E"/>
    <w:rsid w:val="00B800CE"/>
    <w:rsid w:val="00B80DA6"/>
    <w:rsid w:val="00B81075"/>
    <w:rsid w:val="00B827FE"/>
    <w:rsid w:val="00B8281F"/>
    <w:rsid w:val="00B84B8A"/>
    <w:rsid w:val="00B84E42"/>
    <w:rsid w:val="00B852D2"/>
    <w:rsid w:val="00B868E9"/>
    <w:rsid w:val="00B87670"/>
    <w:rsid w:val="00B907A1"/>
    <w:rsid w:val="00B90F2F"/>
    <w:rsid w:val="00B91632"/>
    <w:rsid w:val="00B9228C"/>
    <w:rsid w:val="00B95555"/>
    <w:rsid w:val="00B96025"/>
    <w:rsid w:val="00BA188E"/>
    <w:rsid w:val="00BA407D"/>
    <w:rsid w:val="00BA4997"/>
    <w:rsid w:val="00BA5E10"/>
    <w:rsid w:val="00BA6A45"/>
    <w:rsid w:val="00BA6D75"/>
    <w:rsid w:val="00BB4A28"/>
    <w:rsid w:val="00BB6E38"/>
    <w:rsid w:val="00BC320A"/>
    <w:rsid w:val="00BC62EB"/>
    <w:rsid w:val="00BC6D10"/>
    <w:rsid w:val="00BC7FA2"/>
    <w:rsid w:val="00BD14D1"/>
    <w:rsid w:val="00BD1914"/>
    <w:rsid w:val="00BD1D48"/>
    <w:rsid w:val="00BD20DE"/>
    <w:rsid w:val="00BD4136"/>
    <w:rsid w:val="00BD5EC3"/>
    <w:rsid w:val="00BD6D8C"/>
    <w:rsid w:val="00BE14E2"/>
    <w:rsid w:val="00BE2377"/>
    <w:rsid w:val="00BE59C1"/>
    <w:rsid w:val="00BE5A6A"/>
    <w:rsid w:val="00BF0719"/>
    <w:rsid w:val="00BF1574"/>
    <w:rsid w:val="00BF1DA8"/>
    <w:rsid w:val="00BF2031"/>
    <w:rsid w:val="00BF2B40"/>
    <w:rsid w:val="00BF7CFD"/>
    <w:rsid w:val="00C005FE"/>
    <w:rsid w:val="00C010C7"/>
    <w:rsid w:val="00C03484"/>
    <w:rsid w:val="00C03913"/>
    <w:rsid w:val="00C04F31"/>
    <w:rsid w:val="00C054D8"/>
    <w:rsid w:val="00C05D9B"/>
    <w:rsid w:val="00C0723A"/>
    <w:rsid w:val="00C1054C"/>
    <w:rsid w:val="00C10840"/>
    <w:rsid w:val="00C108F9"/>
    <w:rsid w:val="00C12A23"/>
    <w:rsid w:val="00C13E31"/>
    <w:rsid w:val="00C15346"/>
    <w:rsid w:val="00C156D0"/>
    <w:rsid w:val="00C16ED7"/>
    <w:rsid w:val="00C17C97"/>
    <w:rsid w:val="00C21A42"/>
    <w:rsid w:val="00C30CE6"/>
    <w:rsid w:val="00C3216F"/>
    <w:rsid w:val="00C32DFF"/>
    <w:rsid w:val="00C34565"/>
    <w:rsid w:val="00C4295D"/>
    <w:rsid w:val="00C4538C"/>
    <w:rsid w:val="00C46CCD"/>
    <w:rsid w:val="00C47A5C"/>
    <w:rsid w:val="00C47E12"/>
    <w:rsid w:val="00C5047A"/>
    <w:rsid w:val="00C55E68"/>
    <w:rsid w:val="00C6114F"/>
    <w:rsid w:val="00C64534"/>
    <w:rsid w:val="00C66EA5"/>
    <w:rsid w:val="00C708F6"/>
    <w:rsid w:val="00C72136"/>
    <w:rsid w:val="00C721D2"/>
    <w:rsid w:val="00C7379C"/>
    <w:rsid w:val="00C74630"/>
    <w:rsid w:val="00C76518"/>
    <w:rsid w:val="00C7718C"/>
    <w:rsid w:val="00C80350"/>
    <w:rsid w:val="00C82093"/>
    <w:rsid w:val="00C82EE7"/>
    <w:rsid w:val="00C87337"/>
    <w:rsid w:val="00C90164"/>
    <w:rsid w:val="00C9365E"/>
    <w:rsid w:val="00C9498E"/>
    <w:rsid w:val="00C94D2B"/>
    <w:rsid w:val="00C95099"/>
    <w:rsid w:val="00C95C0A"/>
    <w:rsid w:val="00C963DC"/>
    <w:rsid w:val="00CA0285"/>
    <w:rsid w:val="00CA6CBC"/>
    <w:rsid w:val="00CA7C20"/>
    <w:rsid w:val="00CB599C"/>
    <w:rsid w:val="00CB5F12"/>
    <w:rsid w:val="00CC3AD4"/>
    <w:rsid w:val="00CC653C"/>
    <w:rsid w:val="00CD312A"/>
    <w:rsid w:val="00CD3D43"/>
    <w:rsid w:val="00CD4B17"/>
    <w:rsid w:val="00CD53F2"/>
    <w:rsid w:val="00CD5747"/>
    <w:rsid w:val="00CD7D37"/>
    <w:rsid w:val="00CE0D38"/>
    <w:rsid w:val="00CE0EB5"/>
    <w:rsid w:val="00CE2650"/>
    <w:rsid w:val="00CE68B5"/>
    <w:rsid w:val="00CE7232"/>
    <w:rsid w:val="00CF0964"/>
    <w:rsid w:val="00CF1A5C"/>
    <w:rsid w:val="00CF43DC"/>
    <w:rsid w:val="00D047EB"/>
    <w:rsid w:val="00D06EE3"/>
    <w:rsid w:val="00D10172"/>
    <w:rsid w:val="00D106B7"/>
    <w:rsid w:val="00D1077A"/>
    <w:rsid w:val="00D11DF6"/>
    <w:rsid w:val="00D12647"/>
    <w:rsid w:val="00D126D2"/>
    <w:rsid w:val="00D14B94"/>
    <w:rsid w:val="00D14D21"/>
    <w:rsid w:val="00D157F8"/>
    <w:rsid w:val="00D15ACC"/>
    <w:rsid w:val="00D15DE9"/>
    <w:rsid w:val="00D227A5"/>
    <w:rsid w:val="00D26513"/>
    <w:rsid w:val="00D26994"/>
    <w:rsid w:val="00D26C47"/>
    <w:rsid w:val="00D33BD2"/>
    <w:rsid w:val="00D352A7"/>
    <w:rsid w:val="00D35D15"/>
    <w:rsid w:val="00D36CC5"/>
    <w:rsid w:val="00D3707A"/>
    <w:rsid w:val="00D42C55"/>
    <w:rsid w:val="00D47992"/>
    <w:rsid w:val="00D51E21"/>
    <w:rsid w:val="00D521F8"/>
    <w:rsid w:val="00D53CCD"/>
    <w:rsid w:val="00D547B3"/>
    <w:rsid w:val="00D569DD"/>
    <w:rsid w:val="00D60166"/>
    <w:rsid w:val="00D603F8"/>
    <w:rsid w:val="00D6336F"/>
    <w:rsid w:val="00D71EA7"/>
    <w:rsid w:val="00D72270"/>
    <w:rsid w:val="00D73563"/>
    <w:rsid w:val="00D73AE2"/>
    <w:rsid w:val="00D74649"/>
    <w:rsid w:val="00D76223"/>
    <w:rsid w:val="00D82A67"/>
    <w:rsid w:val="00D82CF2"/>
    <w:rsid w:val="00D831EF"/>
    <w:rsid w:val="00D83C42"/>
    <w:rsid w:val="00D85AF9"/>
    <w:rsid w:val="00D87EA7"/>
    <w:rsid w:val="00D9682F"/>
    <w:rsid w:val="00DA013E"/>
    <w:rsid w:val="00DA3346"/>
    <w:rsid w:val="00DA3EDA"/>
    <w:rsid w:val="00DA4A92"/>
    <w:rsid w:val="00DA7ED5"/>
    <w:rsid w:val="00DB17E4"/>
    <w:rsid w:val="00DB231F"/>
    <w:rsid w:val="00DB6765"/>
    <w:rsid w:val="00DB706D"/>
    <w:rsid w:val="00DB72A2"/>
    <w:rsid w:val="00DB7A41"/>
    <w:rsid w:val="00DC096C"/>
    <w:rsid w:val="00DC2046"/>
    <w:rsid w:val="00DC236A"/>
    <w:rsid w:val="00DC27B2"/>
    <w:rsid w:val="00DC44A3"/>
    <w:rsid w:val="00DC5EA1"/>
    <w:rsid w:val="00DC705C"/>
    <w:rsid w:val="00DD0F9D"/>
    <w:rsid w:val="00DD1B1C"/>
    <w:rsid w:val="00DD4CF2"/>
    <w:rsid w:val="00DD62D8"/>
    <w:rsid w:val="00DD6A28"/>
    <w:rsid w:val="00DE0DED"/>
    <w:rsid w:val="00DE4CC6"/>
    <w:rsid w:val="00DE4FF5"/>
    <w:rsid w:val="00DF06B2"/>
    <w:rsid w:val="00DF0EDE"/>
    <w:rsid w:val="00DF1335"/>
    <w:rsid w:val="00DF4850"/>
    <w:rsid w:val="00DF4E36"/>
    <w:rsid w:val="00DF661D"/>
    <w:rsid w:val="00DF6DE7"/>
    <w:rsid w:val="00DF7720"/>
    <w:rsid w:val="00E03D07"/>
    <w:rsid w:val="00E0627E"/>
    <w:rsid w:val="00E06CF5"/>
    <w:rsid w:val="00E078F6"/>
    <w:rsid w:val="00E106FB"/>
    <w:rsid w:val="00E11D64"/>
    <w:rsid w:val="00E13E30"/>
    <w:rsid w:val="00E1538B"/>
    <w:rsid w:val="00E22406"/>
    <w:rsid w:val="00E234CC"/>
    <w:rsid w:val="00E31EB9"/>
    <w:rsid w:val="00E3489D"/>
    <w:rsid w:val="00E34DD9"/>
    <w:rsid w:val="00E36FCB"/>
    <w:rsid w:val="00E37D7F"/>
    <w:rsid w:val="00E42152"/>
    <w:rsid w:val="00E42987"/>
    <w:rsid w:val="00E43CE1"/>
    <w:rsid w:val="00E444CE"/>
    <w:rsid w:val="00E45802"/>
    <w:rsid w:val="00E4580F"/>
    <w:rsid w:val="00E4667B"/>
    <w:rsid w:val="00E47EF5"/>
    <w:rsid w:val="00E50245"/>
    <w:rsid w:val="00E53C80"/>
    <w:rsid w:val="00E54167"/>
    <w:rsid w:val="00E54253"/>
    <w:rsid w:val="00E54ED0"/>
    <w:rsid w:val="00E56D52"/>
    <w:rsid w:val="00E579BB"/>
    <w:rsid w:val="00E61E6B"/>
    <w:rsid w:val="00E6369C"/>
    <w:rsid w:val="00E63CAA"/>
    <w:rsid w:val="00E658C7"/>
    <w:rsid w:val="00E71B75"/>
    <w:rsid w:val="00E72BD1"/>
    <w:rsid w:val="00E76EEC"/>
    <w:rsid w:val="00E806CB"/>
    <w:rsid w:val="00E810ED"/>
    <w:rsid w:val="00E81D21"/>
    <w:rsid w:val="00E85AEE"/>
    <w:rsid w:val="00E86905"/>
    <w:rsid w:val="00E86CC3"/>
    <w:rsid w:val="00E90A9B"/>
    <w:rsid w:val="00E929B5"/>
    <w:rsid w:val="00E959E6"/>
    <w:rsid w:val="00E95CEE"/>
    <w:rsid w:val="00E96519"/>
    <w:rsid w:val="00E9664A"/>
    <w:rsid w:val="00EA1930"/>
    <w:rsid w:val="00EA4DE2"/>
    <w:rsid w:val="00EA4EB5"/>
    <w:rsid w:val="00EA6208"/>
    <w:rsid w:val="00EB23AF"/>
    <w:rsid w:val="00EB2488"/>
    <w:rsid w:val="00EB3577"/>
    <w:rsid w:val="00EB4754"/>
    <w:rsid w:val="00EB5AC2"/>
    <w:rsid w:val="00EB5B35"/>
    <w:rsid w:val="00EB72A0"/>
    <w:rsid w:val="00EC0C91"/>
    <w:rsid w:val="00EC1291"/>
    <w:rsid w:val="00EC1E80"/>
    <w:rsid w:val="00EC28A4"/>
    <w:rsid w:val="00ED185A"/>
    <w:rsid w:val="00ED1A83"/>
    <w:rsid w:val="00ED73DE"/>
    <w:rsid w:val="00ED7AA1"/>
    <w:rsid w:val="00ED7D95"/>
    <w:rsid w:val="00ED7DB9"/>
    <w:rsid w:val="00EE05E7"/>
    <w:rsid w:val="00EE13DD"/>
    <w:rsid w:val="00EE28A8"/>
    <w:rsid w:val="00EE3DAB"/>
    <w:rsid w:val="00EE4B96"/>
    <w:rsid w:val="00EE5ED9"/>
    <w:rsid w:val="00EE7426"/>
    <w:rsid w:val="00EF0861"/>
    <w:rsid w:val="00EF1411"/>
    <w:rsid w:val="00EF17E7"/>
    <w:rsid w:val="00EF3E99"/>
    <w:rsid w:val="00EF4707"/>
    <w:rsid w:val="00EF5040"/>
    <w:rsid w:val="00EF7B6E"/>
    <w:rsid w:val="00F032F2"/>
    <w:rsid w:val="00F043F1"/>
    <w:rsid w:val="00F07485"/>
    <w:rsid w:val="00F10325"/>
    <w:rsid w:val="00F116E0"/>
    <w:rsid w:val="00F120C8"/>
    <w:rsid w:val="00F1236C"/>
    <w:rsid w:val="00F13FDC"/>
    <w:rsid w:val="00F13FF2"/>
    <w:rsid w:val="00F1462D"/>
    <w:rsid w:val="00F146B6"/>
    <w:rsid w:val="00F16331"/>
    <w:rsid w:val="00F16B6C"/>
    <w:rsid w:val="00F17A92"/>
    <w:rsid w:val="00F21E62"/>
    <w:rsid w:val="00F226FB"/>
    <w:rsid w:val="00F239B8"/>
    <w:rsid w:val="00F250B1"/>
    <w:rsid w:val="00F265EF"/>
    <w:rsid w:val="00F3326B"/>
    <w:rsid w:val="00F3439A"/>
    <w:rsid w:val="00F34E9B"/>
    <w:rsid w:val="00F3643B"/>
    <w:rsid w:val="00F41A4A"/>
    <w:rsid w:val="00F423AC"/>
    <w:rsid w:val="00F427DC"/>
    <w:rsid w:val="00F42E6E"/>
    <w:rsid w:val="00F43EF1"/>
    <w:rsid w:val="00F46F24"/>
    <w:rsid w:val="00F47BB3"/>
    <w:rsid w:val="00F53D4F"/>
    <w:rsid w:val="00F545CA"/>
    <w:rsid w:val="00F570A5"/>
    <w:rsid w:val="00F62063"/>
    <w:rsid w:val="00F63954"/>
    <w:rsid w:val="00F67D7B"/>
    <w:rsid w:val="00F70CBC"/>
    <w:rsid w:val="00F71273"/>
    <w:rsid w:val="00F719BF"/>
    <w:rsid w:val="00F7342E"/>
    <w:rsid w:val="00F74926"/>
    <w:rsid w:val="00F77245"/>
    <w:rsid w:val="00F80116"/>
    <w:rsid w:val="00F80D6F"/>
    <w:rsid w:val="00F813C8"/>
    <w:rsid w:val="00F81F27"/>
    <w:rsid w:val="00F83234"/>
    <w:rsid w:val="00F8374F"/>
    <w:rsid w:val="00F83E00"/>
    <w:rsid w:val="00F84927"/>
    <w:rsid w:val="00F87192"/>
    <w:rsid w:val="00F911B2"/>
    <w:rsid w:val="00F91392"/>
    <w:rsid w:val="00F92493"/>
    <w:rsid w:val="00F9285B"/>
    <w:rsid w:val="00F92B40"/>
    <w:rsid w:val="00F95E52"/>
    <w:rsid w:val="00FA0880"/>
    <w:rsid w:val="00FA39E8"/>
    <w:rsid w:val="00FA737B"/>
    <w:rsid w:val="00FA76A2"/>
    <w:rsid w:val="00FB108C"/>
    <w:rsid w:val="00FB1E1E"/>
    <w:rsid w:val="00FB2127"/>
    <w:rsid w:val="00FB3C48"/>
    <w:rsid w:val="00FB4FD9"/>
    <w:rsid w:val="00FB5891"/>
    <w:rsid w:val="00FB608D"/>
    <w:rsid w:val="00FC04D9"/>
    <w:rsid w:val="00FC3C1A"/>
    <w:rsid w:val="00FD1070"/>
    <w:rsid w:val="00FD26BE"/>
    <w:rsid w:val="00FD4CB1"/>
    <w:rsid w:val="00FD5916"/>
    <w:rsid w:val="00FD7308"/>
    <w:rsid w:val="00FE0117"/>
    <w:rsid w:val="00FE02CF"/>
    <w:rsid w:val="00FE263F"/>
    <w:rsid w:val="00FF2347"/>
    <w:rsid w:val="00FF2EA4"/>
    <w:rsid w:val="00FF4556"/>
    <w:rsid w:val="00FF5A78"/>
    <w:rsid w:val="00FF5B5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65784E0"/>
  <w15:docId w15:val="{0A138719-4781-46FA-96C2-D5CF387F9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5944"/>
    <w:pPr>
      <w:spacing w:before="120" w:after="120" w:line="288" w:lineRule="auto"/>
      <w:jc w:val="both"/>
    </w:pPr>
    <w:rPr>
      <w:rFonts w:ascii="Arial" w:hAnsi="Arial"/>
      <w:szCs w:val="24"/>
      <w:lang w:val="en-US" w:eastAsia="en-US"/>
    </w:rPr>
  </w:style>
  <w:style w:type="paragraph" w:styleId="Nadpis1">
    <w:name w:val="heading 1"/>
    <w:basedOn w:val="Normln"/>
    <w:next w:val="Normln"/>
    <w:link w:val="Nadpis1Char"/>
    <w:qFormat/>
    <w:rsid w:val="00B0244F"/>
    <w:pPr>
      <w:keepNext/>
      <w:spacing w:before="240"/>
      <w:outlineLvl w:val="0"/>
    </w:pPr>
    <w:rPr>
      <w:rFonts w:cs="Arial"/>
      <w:b/>
      <w:bCs/>
      <w:sz w:val="24"/>
      <w:lang w:val="en-GB"/>
    </w:rPr>
  </w:style>
  <w:style w:type="paragraph" w:styleId="Nadpis2">
    <w:name w:val="heading 2"/>
    <w:basedOn w:val="Normln"/>
    <w:next w:val="Normln"/>
    <w:link w:val="Nadpis2Char"/>
    <w:qFormat/>
    <w:rsid w:val="00A26B30"/>
    <w:pPr>
      <w:keepNext/>
      <w:spacing w:before="240"/>
      <w:jc w:val="left"/>
      <w:outlineLvl w:val="1"/>
    </w:pPr>
    <w:rPr>
      <w:rFonts w:cs="Arial"/>
      <w:b/>
      <w:bCs/>
      <w:lang w:val="cs-CZ"/>
    </w:rPr>
  </w:style>
  <w:style w:type="paragraph" w:styleId="Nadpis3">
    <w:name w:val="heading 3"/>
    <w:basedOn w:val="Normln"/>
    <w:next w:val="Normln"/>
    <w:qFormat/>
    <w:rsid w:val="00B0244F"/>
    <w:pPr>
      <w:keepNext/>
      <w:outlineLvl w:val="2"/>
    </w:pPr>
    <w:rPr>
      <w:bCs/>
      <w:i/>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rsid w:val="00B0244F"/>
    <w:rPr>
      <w:szCs w:val="20"/>
    </w:rPr>
  </w:style>
  <w:style w:type="character" w:styleId="Znakapoznpodarou">
    <w:name w:val="footnote reference"/>
    <w:uiPriority w:val="99"/>
    <w:semiHidden/>
    <w:rsid w:val="00B0244F"/>
    <w:rPr>
      <w:vertAlign w:val="superscript"/>
    </w:rPr>
  </w:style>
  <w:style w:type="paragraph" w:styleId="Nzev">
    <w:name w:val="Title"/>
    <w:basedOn w:val="Normln"/>
    <w:qFormat/>
    <w:rsid w:val="00B0244F"/>
    <w:pPr>
      <w:spacing w:before="360" w:after="240"/>
      <w:outlineLvl w:val="0"/>
    </w:pPr>
    <w:rPr>
      <w:rFonts w:cs="Arial"/>
      <w:b/>
      <w:bCs/>
      <w:kern w:val="28"/>
      <w:sz w:val="24"/>
      <w:szCs w:val="32"/>
      <w:lang w:val="en-GB" w:eastAsia="lv-LV"/>
    </w:rPr>
  </w:style>
  <w:style w:type="character" w:styleId="Hypertextovodkaz">
    <w:name w:val="Hyperlink"/>
    <w:uiPriority w:val="99"/>
    <w:rsid w:val="00B0244F"/>
    <w:rPr>
      <w:color w:val="0000FF"/>
      <w:u w:val="single"/>
    </w:rPr>
  </w:style>
  <w:style w:type="paragraph" w:styleId="Zkladntext">
    <w:name w:val="Body Text"/>
    <w:basedOn w:val="Normln"/>
    <w:rsid w:val="00B0244F"/>
    <w:rPr>
      <w:rFonts w:cs="Arial"/>
      <w:lang w:val="cs-CZ"/>
    </w:rPr>
  </w:style>
  <w:style w:type="paragraph" w:styleId="Zhlav">
    <w:name w:val="header"/>
    <w:basedOn w:val="Normln"/>
    <w:link w:val="ZhlavChar"/>
    <w:uiPriority w:val="99"/>
    <w:rsid w:val="00B0244F"/>
    <w:pPr>
      <w:tabs>
        <w:tab w:val="center" w:pos="4153"/>
        <w:tab w:val="right" w:pos="8306"/>
      </w:tabs>
    </w:pPr>
  </w:style>
  <w:style w:type="paragraph" w:styleId="Zpat">
    <w:name w:val="footer"/>
    <w:basedOn w:val="Normln"/>
    <w:link w:val="ZpatChar"/>
    <w:uiPriority w:val="99"/>
    <w:rsid w:val="00B0244F"/>
    <w:pPr>
      <w:tabs>
        <w:tab w:val="center" w:pos="4153"/>
        <w:tab w:val="right" w:pos="8306"/>
      </w:tabs>
    </w:pPr>
  </w:style>
  <w:style w:type="character" w:styleId="slostrnky">
    <w:name w:val="page number"/>
    <w:basedOn w:val="Standardnpsmoodstavce"/>
    <w:rsid w:val="00B0244F"/>
  </w:style>
  <w:style w:type="character" w:styleId="Sledovanodkaz">
    <w:name w:val="FollowedHyperlink"/>
    <w:rsid w:val="00B0244F"/>
    <w:rPr>
      <w:color w:val="800080"/>
      <w:u w:val="single"/>
    </w:rPr>
  </w:style>
  <w:style w:type="paragraph" w:styleId="Zkladntextodsazen">
    <w:name w:val="Body Text Indent"/>
    <w:basedOn w:val="Normln"/>
    <w:rsid w:val="00B0244F"/>
    <w:pPr>
      <w:numPr>
        <w:numId w:val="1"/>
      </w:numPr>
    </w:pPr>
    <w:rPr>
      <w:rFonts w:cs="Arial"/>
      <w:lang w:val="cs-CZ"/>
    </w:rPr>
  </w:style>
  <w:style w:type="character" w:styleId="Odkaznakoment">
    <w:name w:val="annotation reference"/>
    <w:uiPriority w:val="99"/>
    <w:semiHidden/>
    <w:rsid w:val="00B0244F"/>
    <w:rPr>
      <w:sz w:val="16"/>
      <w:szCs w:val="16"/>
    </w:rPr>
  </w:style>
  <w:style w:type="paragraph" w:styleId="Textkomente">
    <w:name w:val="annotation text"/>
    <w:basedOn w:val="Normln"/>
    <w:link w:val="TextkomenteChar"/>
    <w:uiPriority w:val="99"/>
    <w:semiHidden/>
    <w:rsid w:val="00B0244F"/>
    <w:rPr>
      <w:szCs w:val="20"/>
    </w:rPr>
  </w:style>
  <w:style w:type="paragraph" w:styleId="Rozloendokumentu">
    <w:name w:val="Document Map"/>
    <w:basedOn w:val="Normln"/>
    <w:semiHidden/>
    <w:rsid w:val="00B0244F"/>
    <w:pPr>
      <w:shd w:val="clear" w:color="auto" w:fill="000080"/>
    </w:pPr>
    <w:rPr>
      <w:rFonts w:ascii="Tahoma" w:hAnsi="Tahoma" w:cs="Tahoma"/>
    </w:rPr>
  </w:style>
  <w:style w:type="paragraph" w:styleId="Zkladntextodsazen2">
    <w:name w:val="Body Text Indent 2"/>
    <w:basedOn w:val="Normln"/>
    <w:rsid w:val="00B0244F"/>
    <w:pPr>
      <w:numPr>
        <w:numId w:val="2"/>
      </w:numPr>
      <w:autoSpaceDE w:val="0"/>
      <w:autoSpaceDN w:val="0"/>
      <w:adjustRightInd w:val="0"/>
    </w:pPr>
    <w:rPr>
      <w:rFonts w:cs="Arial"/>
      <w:lang w:val="en-GB"/>
    </w:rPr>
  </w:style>
  <w:style w:type="paragraph" w:styleId="Zkladntext2">
    <w:name w:val="Body Text 2"/>
    <w:basedOn w:val="Normln"/>
    <w:rsid w:val="00B0244F"/>
    <w:pPr>
      <w:spacing w:after="600"/>
    </w:pPr>
    <w:rPr>
      <w:rFonts w:cs="Arial"/>
      <w:color w:val="808080"/>
      <w:sz w:val="18"/>
      <w:lang w:val="en-GB"/>
    </w:rPr>
  </w:style>
  <w:style w:type="paragraph" w:styleId="Normlnweb">
    <w:name w:val="Normal (Web)"/>
    <w:basedOn w:val="Normln"/>
    <w:rsid w:val="00B0244F"/>
    <w:pPr>
      <w:spacing w:before="100" w:beforeAutospacing="1" w:after="100" w:afterAutospacing="1" w:line="240" w:lineRule="auto"/>
      <w:jc w:val="left"/>
    </w:pPr>
    <w:rPr>
      <w:rFonts w:ascii="Times New Roman" w:hAnsi="Times New Roman"/>
      <w:sz w:val="24"/>
    </w:rPr>
  </w:style>
  <w:style w:type="paragraph" w:customStyle="1" w:styleId="Kines">
    <w:name w:val="Kines"/>
    <w:basedOn w:val="Nzev"/>
    <w:rsid w:val="00B0244F"/>
    <w:rPr>
      <w:color w:val="777777"/>
      <w:sz w:val="27"/>
    </w:rPr>
  </w:style>
  <w:style w:type="table" w:styleId="Mkatabulky">
    <w:name w:val="Table Grid"/>
    <w:basedOn w:val="Normlntabulka"/>
    <w:uiPriority w:val="59"/>
    <w:rsid w:val="00B1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F9285B"/>
    <w:pPr>
      <w:spacing w:before="0" w:after="0" w:line="240" w:lineRule="auto"/>
    </w:pPr>
    <w:rPr>
      <w:rFonts w:ascii="Tahoma" w:hAnsi="Tahoma"/>
      <w:sz w:val="16"/>
      <w:szCs w:val="16"/>
    </w:rPr>
  </w:style>
  <w:style w:type="character" w:customStyle="1" w:styleId="TextbublinyChar">
    <w:name w:val="Text bubliny Char"/>
    <w:link w:val="Textbubliny"/>
    <w:rsid w:val="00F9285B"/>
    <w:rPr>
      <w:rFonts w:ascii="Tahoma" w:hAnsi="Tahoma" w:cs="Tahoma"/>
      <w:sz w:val="16"/>
      <w:szCs w:val="16"/>
    </w:rPr>
  </w:style>
  <w:style w:type="paragraph" w:styleId="Pedmtkomente">
    <w:name w:val="annotation subject"/>
    <w:basedOn w:val="Textkomente"/>
    <w:next w:val="Textkomente"/>
    <w:link w:val="PedmtkomenteChar"/>
    <w:rsid w:val="00372102"/>
    <w:rPr>
      <w:b/>
      <w:bCs/>
    </w:rPr>
  </w:style>
  <w:style w:type="character" w:customStyle="1" w:styleId="TextkomenteChar">
    <w:name w:val="Text komentáře Char"/>
    <w:link w:val="Textkomente"/>
    <w:uiPriority w:val="99"/>
    <w:semiHidden/>
    <w:rsid w:val="00372102"/>
    <w:rPr>
      <w:rFonts w:ascii="Arial" w:hAnsi="Arial"/>
    </w:rPr>
  </w:style>
  <w:style w:type="character" w:customStyle="1" w:styleId="PedmtkomenteChar">
    <w:name w:val="Předmět komentáře Char"/>
    <w:link w:val="Pedmtkomente"/>
    <w:rsid w:val="00372102"/>
    <w:rPr>
      <w:rFonts w:ascii="Arial" w:hAnsi="Arial"/>
      <w:b/>
      <w:bCs/>
    </w:rPr>
  </w:style>
  <w:style w:type="character" w:customStyle="1" w:styleId="TextpoznpodarouChar">
    <w:name w:val="Text pozn. pod čarou Char"/>
    <w:link w:val="Textpoznpodarou"/>
    <w:uiPriority w:val="99"/>
    <w:semiHidden/>
    <w:rsid w:val="00915E17"/>
    <w:rPr>
      <w:rFonts w:ascii="Arial" w:hAnsi="Arial"/>
      <w:lang w:val="en-US" w:eastAsia="en-US"/>
    </w:rPr>
  </w:style>
  <w:style w:type="paragraph" w:customStyle="1" w:styleId="Default">
    <w:name w:val="Default"/>
    <w:rsid w:val="00AF69F1"/>
    <w:pPr>
      <w:autoSpaceDE w:val="0"/>
      <w:autoSpaceDN w:val="0"/>
      <w:adjustRightInd w:val="0"/>
    </w:pPr>
    <w:rPr>
      <w:rFonts w:ascii="Calibri" w:hAnsi="Calibri" w:cs="Calibri"/>
      <w:color w:val="000000"/>
      <w:sz w:val="24"/>
      <w:szCs w:val="24"/>
    </w:rPr>
  </w:style>
  <w:style w:type="paragraph" w:styleId="Odstavecseseznamem">
    <w:name w:val="List Paragraph"/>
    <w:basedOn w:val="Normln"/>
    <w:uiPriority w:val="34"/>
    <w:qFormat/>
    <w:rsid w:val="00371627"/>
    <w:pPr>
      <w:ind w:left="720"/>
      <w:contextualSpacing/>
    </w:pPr>
  </w:style>
  <w:style w:type="paragraph" w:styleId="Revize">
    <w:name w:val="Revision"/>
    <w:hidden/>
    <w:uiPriority w:val="99"/>
    <w:semiHidden/>
    <w:rsid w:val="007F04D1"/>
    <w:rPr>
      <w:rFonts w:ascii="Arial" w:hAnsi="Arial"/>
      <w:szCs w:val="24"/>
      <w:lang w:val="en-US" w:eastAsia="en-US"/>
    </w:rPr>
  </w:style>
  <w:style w:type="character" w:customStyle="1" w:styleId="Nadpis2Char">
    <w:name w:val="Nadpis 2 Char"/>
    <w:basedOn w:val="Standardnpsmoodstavce"/>
    <w:link w:val="Nadpis2"/>
    <w:rsid w:val="00A26B30"/>
    <w:rPr>
      <w:rFonts w:ascii="Arial" w:hAnsi="Arial" w:cs="Arial"/>
      <w:b/>
      <w:bCs/>
      <w:szCs w:val="24"/>
      <w:lang w:eastAsia="en-US"/>
    </w:rPr>
  </w:style>
  <w:style w:type="character" w:customStyle="1" w:styleId="Nadpis1Char">
    <w:name w:val="Nadpis 1 Char"/>
    <w:basedOn w:val="Standardnpsmoodstavce"/>
    <w:link w:val="Nadpis1"/>
    <w:rsid w:val="00B56296"/>
    <w:rPr>
      <w:rFonts w:ascii="Arial" w:hAnsi="Arial" w:cs="Arial"/>
      <w:b/>
      <w:bCs/>
      <w:sz w:val="24"/>
      <w:szCs w:val="24"/>
      <w:lang w:val="en-GB" w:eastAsia="en-US"/>
    </w:rPr>
  </w:style>
  <w:style w:type="paragraph" w:styleId="Nadpisobsahu">
    <w:name w:val="TOC Heading"/>
    <w:basedOn w:val="Nadpis1"/>
    <w:next w:val="Normln"/>
    <w:uiPriority w:val="39"/>
    <w:unhideWhenUsed/>
    <w:qFormat/>
    <w:rsid w:val="00BD14D1"/>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cs-CZ" w:eastAsia="cs-CZ"/>
    </w:rPr>
  </w:style>
  <w:style w:type="paragraph" w:styleId="Obsah1">
    <w:name w:val="toc 1"/>
    <w:basedOn w:val="Normln"/>
    <w:next w:val="Normln"/>
    <w:autoRedefine/>
    <w:uiPriority w:val="39"/>
    <w:unhideWhenUsed/>
    <w:qFormat/>
    <w:rsid w:val="00986A02"/>
    <w:pPr>
      <w:keepNext/>
      <w:keepLines/>
      <w:tabs>
        <w:tab w:val="left" w:pos="440"/>
        <w:tab w:val="right" w:leader="dot" w:pos="8398"/>
      </w:tabs>
      <w:spacing w:after="100"/>
      <w:ind w:left="426" w:hanging="426"/>
    </w:pPr>
  </w:style>
  <w:style w:type="paragraph" w:styleId="Obsah2">
    <w:name w:val="toc 2"/>
    <w:basedOn w:val="Normln"/>
    <w:next w:val="Normln"/>
    <w:autoRedefine/>
    <w:uiPriority w:val="39"/>
    <w:unhideWhenUsed/>
    <w:qFormat/>
    <w:rsid w:val="00986A02"/>
    <w:pPr>
      <w:keepNext/>
      <w:keepLines/>
      <w:tabs>
        <w:tab w:val="left" w:pos="880"/>
        <w:tab w:val="right" w:leader="dot" w:pos="8398"/>
      </w:tabs>
      <w:spacing w:after="100"/>
      <w:ind w:left="851" w:hanging="851"/>
    </w:pPr>
  </w:style>
  <w:style w:type="paragraph" w:styleId="Obsah3">
    <w:name w:val="toc 3"/>
    <w:basedOn w:val="Normln"/>
    <w:next w:val="Normln"/>
    <w:autoRedefine/>
    <w:uiPriority w:val="39"/>
    <w:unhideWhenUsed/>
    <w:qFormat/>
    <w:rsid w:val="00E959E6"/>
    <w:pPr>
      <w:spacing w:before="0" w:after="100" w:line="276" w:lineRule="auto"/>
      <w:ind w:left="440"/>
      <w:jc w:val="left"/>
    </w:pPr>
    <w:rPr>
      <w:rFonts w:asciiTheme="minorHAnsi" w:eastAsiaTheme="minorEastAsia" w:hAnsiTheme="minorHAnsi" w:cstheme="minorBidi"/>
      <w:sz w:val="22"/>
      <w:szCs w:val="22"/>
      <w:lang w:val="cs-CZ" w:eastAsia="cs-CZ"/>
    </w:rPr>
  </w:style>
  <w:style w:type="paragraph" w:customStyle="1" w:styleId="poznamkypodcarou">
    <w:name w:val="poznamky pod carou"/>
    <w:basedOn w:val="Textpoznpodarou"/>
    <w:qFormat/>
    <w:rsid w:val="00466366"/>
    <w:pPr>
      <w:spacing w:before="0" w:after="0"/>
      <w:jc w:val="left"/>
    </w:pPr>
    <w:rPr>
      <w:sz w:val="18"/>
      <w:szCs w:val="18"/>
    </w:rPr>
  </w:style>
  <w:style w:type="table" w:customStyle="1" w:styleId="Svtlmka1">
    <w:name w:val="Světlá mřížka1"/>
    <w:basedOn w:val="Normlntabulka"/>
    <w:uiPriority w:val="62"/>
    <w:rsid w:val="00B246A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Svtlmka2">
    <w:name w:val="Světlá mřížka2"/>
    <w:basedOn w:val="Normlntabulka"/>
    <w:uiPriority w:val="62"/>
    <w:rsid w:val="000516D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ZhlavChar">
    <w:name w:val="Záhlaví Char"/>
    <w:basedOn w:val="Standardnpsmoodstavce"/>
    <w:link w:val="Zhlav"/>
    <w:uiPriority w:val="99"/>
    <w:rsid w:val="003607B6"/>
    <w:rPr>
      <w:rFonts w:ascii="Arial" w:hAnsi="Arial"/>
      <w:szCs w:val="24"/>
      <w:lang w:val="en-US" w:eastAsia="en-US"/>
    </w:rPr>
  </w:style>
  <w:style w:type="character" w:customStyle="1" w:styleId="ZpatChar">
    <w:name w:val="Zápatí Char"/>
    <w:basedOn w:val="Standardnpsmoodstavce"/>
    <w:link w:val="Zpat"/>
    <w:uiPriority w:val="99"/>
    <w:rsid w:val="003607B6"/>
    <w:rPr>
      <w:rFonts w:ascii="Arial" w:hAnsi="Arial"/>
      <w:szCs w:val="24"/>
      <w:lang w:val="en-US" w:eastAsia="en-US"/>
    </w:rPr>
  </w:style>
  <w:style w:type="character" w:styleId="slodku">
    <w:name w:val="line number"/>
    <w:basedOn w:val="Standardnpsmoodstavce"/>
    <w:semiHidden/>
    <w:unhideWhenUsed/>
    <w:rsid w:val="00076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6551">
      <w:bodyDiv w:val="1"/>
      <w:marLeft w:val="0"/>
      <w:marRight w:val="0"/>
      <w:marTop w:val="0"/>
      <w:marBottom w:val="0"/>
      <w:divBdr>
        <w:top w:val="none" w:sz="0" w:space="0" w:color="auto"/>
        <w:left w:val="none" w:sz="0" w:space="0" w:color="auto"/>
        <w:bottom w:val="none" w:sz="0" w:space="0" w:color="auto"/>
        <w:right w:val="none" w:sz="0" w:space="0" w:color="auto"/>
      </w:divBdr>
    </w:div>
    <w:div w:id="122575914">
      <w:bodyDiv w:val="1"/>
      <w:marLeft w:val="0"/>
      <w:marRight w:val="0"/>
      <w:marTop w:val="0"/>
      <w:marBottom w:val="0"/>
      <w:divBdr>
        <w:top w:val="none" w:sz="0" w:space="0" w:color="auto"/>
        <w:left w:val="none" w:sz="0" w:space="0" w:color="auto"/>
        <w:bottom w:val="none" w:sz="0" w:space="0" w:color="auto"/>
        <w:right w:val="none" w:sz="0" w:space="0" w:color="auto"/>
      </w:divBdr>
    </w:div>
    <w:div w:id="218439201">
      <w:bodyDiv w:val="1"/>
      <w:marLeft w:val="0"/>
      <w:marRight w:val="0"/>
      <w:marTop w:val="0"/>
      <w:marBottom w:val="0"/>
      <w:divBdr>
        <w:top w:val="none" w:sz="0" w:space="0" w:color="auto"/>
        <w:left w:val="none" w:sz="0" w:space="0" w:color="auto"/>
        <w:bottom w:val="none" w:sz="0" w:space="0" w:color="auto"/>
        <w:right w:val="none" w:sz="0" w:space="0" w:color="auto"/>
      </w:divBdr>
    </w:div>
    <w:div w:id="271017865">
      <w:bodyDiv w:val="1"/>
      <w:marLeft w:val="0"/>
      <w:marRight w:val="0"/>
      <w:marTop w:val="0"/>
      <w:marBottom w:val="0"/>
      <w:divBdr>
        <w:top w:val="none" w:sz="0" w:space="0" w:color="auto"/>
        <w:left w:val="none" w:sz="0" w:space="0" w:color="auto"/>
        <w:bottom w:val="none" w:sz="0" w:space="0" w:color="auto"/>
        <w:right w:val="none" w:sz="0" w:space="0" w:color="auto"/>
      </w:divBdr>
    </w:div>
    <w:div w:id="582841513">
      <w:bodyDiv w:val="1"/>
      <w:marLeft w:val="0"/>
      <w:marRight w:val="0"/>
      <w:marTop w:val="0"/>
      <w:marBottom w:val="0"/>
      <w:divBdr>
        <w:top w:val="none" w:sz="0" w:space="0" w:color="auto"/>
        <w:left w:val="none" w:sz="0" w:space="0" w:color="auto"/>
        <w:bottom w:val="none" w:sz="0" w:space="0" w:color="auto"/>
        <w:right w:val="none" w:sz="0" w:space="0" w:color="auto"/>
      </w:divBdr>
    </w:div>
    <w:div w:id="620259616">
      <w:bodyDiv w:val="1"/>
      <w:marLeft w:val="0"/>
      <w:marRight w:val="0"/>
      <w:marTop w:val="0"/>
      <w:marBottom w:val="0"/>
      <w:divBdr>
        <w:top w:val="none" w:sz="0" w:space="0" w:color="auto"/>
        <w:left w:val="none" w:sz="0" w:space="0" w:color="auto"/>
        <w:bottom w:val="none" w:sz="0" w:space="0" w:color="auto"/>
        <w:right w:val="none" w:sz="0" w:space="0" w:color="auto"/>
      </w:divBdr>
    </w:div>
    <w:div w:id="880023271">
      <w:bodyDiv w:val="1"/>
      <w:marLeft w:val="0"/>
      <w:marRight w:val="0"/>
      <w:marTop w:val="0"/>
      <w:marBottom w:val="0"/>
      <w:divBdr>
        <w:top w:val="none" w:sz="0" w:space="0" w:color="auto"/>
        <w:left w:val="none" w:sz="0" w:space="0" w:color="auto"/>
        <w:bottom w:val="none" w:sz="0" w:space="0" w:color="auto"/>
        <w:right w:val="none" w:sz="0" w:space="0" w:color="auto"/>
      </w:divBdr>
      <w:divsChild>
        <w:div w:id="264001226">
          <w:marLeft w:val="0"/>
          <w:marRight w:val="0"/>
          <w:marTop w:val="0"/>
          <w:marBottom w:val="0"/>
          <w:divBdr>
            <w:top w:val="none" w:sz="0" w:space="0" w:color="auto"/>
            <w:left w:val="none" w:sz="0" w:space="0" w:color="auto"/>
            <w:bottom w:val="none" w:sz="0" w:space="0" w:color="auto"/>
            <w:right w:val="none" w:sz="0" w:space="0" w:color="auto"/>
          </w:divBdr>
        </w:div>
        <w:div w:id="1512984545">
          <w:marLeft w:val="0"/>
          <w:marRight w:val="0"/>
          <w:marTop w:val="0"/>
          <w:marBottom w:val="0"/>
          <w:divBdr>
            <w:top w:val="none" w:sz="0" w:space="0" w:color="auto"/>
            <w:left w:val="none" w:sz="0" w:space="0" w:color="auto"/>
            <w:bottom w:val="none" w:sz="0" w:space="0" w:color="auto"/>
            <w:right w:val="none" w:sz="0" w:space="0" w:color="auto"/>
          </w:divBdr>
        </w:div>
      </w:divsChild>
    </w:div>
    <w:div w:id="944574875">
      <w:bodyDiv w:val="1"/>
      <w:marLeft w:val="0"/>
      <w:marRight w:val="0"/>
      <w:marTop w:val="0"/>
      <w:marBottom w:val="0"/>
      <w:divBdr>
        <w:top w:val="none" w:sz="0" w:space="0" w:color="auto"/>
        <w:left w:val="none" w:sz="0" w:space="0" w:color="auto"/>
        <w:bottom w:val="none" w:sz="0" w:space="0" w:color="auto"/>
        <w:right w:val="none" w:sz="0" w:space="0" w:color="auto"/>
      </w:divBdr>
    </w:div>
    <w:div w:id="951473413">
      <w:bodyDiv w:val="1"/>
      <w:marLeft w:val="0"/>
      <w:marRight w:val="0"/>
      <w:marTop w:val="0"/>
      <w:marBottom w:val="0"/>
      <w:divBdr>
        <w:top w:val="none" w:sz="0" w:space="0" w:color="auto"/>
        <w:left w:val="none" w:sz="0" w:space="0" w:color="auto"/>
        <w:bottom w:val="none" w:sz="0" w:space="0" w:color="auto"/>
        <w:right w:val="none" w:sz="0" w:space="0" w:color="auto"/>
      </w:divBdr>
    </w:div>
    <w:div w:id="1326132817">
      <w:bodyDiv w:val="1"/>
      <w:marLeft w:val="0"/>
      <w:marRight w:val="0"/>
      <w:marTop w:val="0"/>
      <w:marBottom w:val="0"/>
      <w:divBdr>
        <w:top w:val="none" w:sz="0" w:space="0" w:color="auto"/>
        <w:left w:val="none" w:sz="0" w:space="0" w:color="auto"/>
        <w:bottom w:val="none" w:sz="0" w:space="0" w:color="auto"/>
        <w:right w:val="none" w:sz="0" w:space="0" w:color="auto"/>
      </w:divBdr>
    </w:div>
    <w:div w:id="1440024863">
      <w:bodyDiv w:val="1"/>
      <w:marLeft w:val="0"/>
      <w:marRight w:val="0"/>
      <w:marTop w:val="0"/>
      <w:marBottom w:val="0"/>
      <w:divBdr>
        <w:top w:val="none" w:sz="0" w:space="0" w:color="auto"/>
        <w:left w:val="none" w:sz="0" w:space="0" w:color="auto"/>
        <w:bottom w:val="none" w:sz="0" w:space="0" w:color="auto"/>
        <w:right w:val="none" w:sz="0" w:space="0" w:color="auto"/>
      </w:divBdr>
    </w:div>
    <w:div w:id="1508592831">
      <w:bodyDiv w:val="1"/>
      <w:marLeft w:val="0"/>
      <w:marRight w:val="0"/>
      <w:marTop w:val="0"/>
      <w:marBottom w:val="0"/>
      <w:divBdr>
        <w:top w:val="none" w:sz="0" w:space="0" w:color="auto"/>
        <w:left w:val="none" w:sz="0" w:space="0" w:color="auto"/>
        <w:bottom w:val="none" w:sz="0" w:space="0" w:color="auto"/>
        <w:right w:val="none" w:sz="0" w:space="0" w:color="auto"/>
      </w:divBdr>
    </w:div>
    <w:div w:id="1515606198">
      <w:bodyDiv w:val="1"/>
      <w:marLeft w:val="0"/>
      <w:marRight w:val="0"/>
      <w:marTop w:val="0"/>
      <w:marBottom w:val="0"/>
      <w:divBdr>
        <w:top w:val="none" w:sz="0" w:space="0" w:color="auto"/>
        <w:left w:val="none" w:sz="0" w:space="0" w:color="auto"/>
        <w:bottom w:val="none" w:sz="0" w:space="0" w:color="auto"/>
        <w:right w:val="none" w:sz="0" w:space="0" w:color="auto"/>
      </w:divBdr>
    </w:div>
    <w:div w:id="18954642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ebarchive.nationalarchives.gov.uk/20140402142426/http://www.oft.gov.uk/shared_oft/mergers_ea02/2012/vodafone.pdf" TargetMode="External"/><Relationship Id="rId1" Type="http://schemas.openxmlformats.org/officeDocument/2006/relationships/hyperlink" Target="https://www.telegeography.com/products/commsupdate/articles/2012/10/01/telefonicavodafone-uk-network-merger-given-oft-approval/"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0502D-1397-410A-9F15-5EAF5A3C7E47}">
  <ds:schemaRefs>
    <ds:schemaRef ds:uri="http://schemas.openxmlformats.org/officeDocument/2006/bibliography"/>
  </ds:schemaRefs>
</ds:datastoreItem>
</file>

<file path=customXml/itemProps2.xml><?xml version="1.0" encoding="utf-8"?>
<ds:datastoreItem xmlns:ds="http://schemas.openxmlformats.org/officeDocument/2006/customXml" ds:itemID="{6DCE3E92-BCCA-4E31-9F82-8AA8698ED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3A6426AB</Template>
  <TotalTime>18</TotalTime>
  <Pages>56</Pages>
  <Words>17124</Words>
  <Characters>100561</Characters>
  <Application>Microsoft Office Word</Application>
  <DocSecurity>0</DocSecurity>
  <Lines>838</Lines>
  <Paragraphs>234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117451</CharactersWithSpaces>
  <SharedDoc>false</SharedDoc>
  <HLinks>
    <vt:vector size="60" baseType="variant">
      <vt:variant>
        <vt:i4>4784144</vt:i4>
      </vt:variant>
      <vt:variant>
        <vt:i4>0</vt:i4>
      </vt:variant>
      <vt:variant>
        <vt:i4>0</vt:i4>
      </vt:variant>
      <vt:variant>
        <vt:i4>5</vt:i4>
      </vt:variant>
      <vt:variant>
        <vt:lpwstr>http://www.pierstone.com/</vt:lpwstr>
      </vt:variant>
      <vt:variant>
        <vt:lpwstr/>
      </vt:variant>
      <vt:variant>
        <vt:i4>3604591</vt:i4>
      </vt:variant>
      <vt:variant>
        <vt:i4>24</vt:i4>
      </vt:variant>
      <vt:variant>
        <vt:i4>0</vt:i4>
      </vt:variant>
      <vt:variant>
        <vt:i4>5</vt:i4>
      </vt:variant>
      <vt:variant>
        <vt:lpwstr>http://eur-lex.europa.eu/LexUriServ/LexUriServ.do?uri=CELEX:61999A0342:EN:HTML</vt:lpwstr>
      </vt:variant>
      <vt:variant>
        <vt:lpwstr/>
      </vt:variant>
      <vt:variant>
        <vt:i4>196698</vt:i4>
      </vt:variant>
      <vt:variant>
        <vt:i4>21</vt:i4>
      </vt:variant>
      <vt:variant>
        <vt:i4>0</vt:i4>
      </vt:variant>
      <vt:variant>
        <vt:i4>5</vt:i4>
      </vt:variant>
      <vt:variant>
        <vt:lpwstr>http://eng.npt.no/ikbViewer/Content/Annex_1_Market15_NPT_23_01_06.pdf?documentID=50787</vt:lpwstr>
      </vt:variant>
      <vt:variant>
        <vt:lpwstr/>
      </vt:variant>
      <vt:variant>
        <vt:i4>1704025</vt:i4>
      </vt:variant>
      <vt:variant>
        <vt:i4>18</vt:i4>
      </vt:variant>
      <vt:variant>
        <vt:i4>0</vt:i4>
      </vt:variant>
      <vt:variant>
        <vt:i4>5</vt:i4>
      </vt:variant>
      <vt:variant>
        <vt:lpwstr>http://www.gsma.com/publicpolicy/wp-content/uploads/2012/09/Mobile-Infrastructure-sharing.pdf</vt:lpwstr>
      </vt:variant>
      <vt:variant>
        <vt:lpwstr/>
      </vt:variant>
      <vt:variant>
        <vt:i4>6094917</vt:i4>
      </vt:variant>
      <vt:variant>
        <vt:i4>15</vt:i4>
      </vt:variant>
      <vt:variant>
        <vt:i4>0</vt:i4>
      </vt:variant>
      <vt:variant>
        <vt:i4>5</vt:i4>
      </vt:variant>
      <vt:variant>
        <vt:lpwstr>https://circabc.europa.eu/sd/d/e47737ad-cecc-4e19-928a-2548493701a8/Adopted Decision M15.pdf</vt:lpwstr>
      </vt:variant>
      <vt:variant>
        <vt:lpwstr/>
      </vt:variant>
      <vt:variant>
        <vt:i4>6291510</vt:i4>
      </vt:variant>
      <vt:variant>
        <vt:i4>12</vt:i4>
      </vt:variant>
      <vt:variant>
        <vt:i4>0</vt:i4>
      </vt:variant>
      <vt:variant>
        <vt:i4>5</vt:i4>
      </vt:variant>
      <vt:variant>
        <vt:lpwstr>http://en.kfst.dk/Indhold-KFST/English/Decisions/20120229-Radio-Access-Network-sharing-agreement-between-Telia-Denmark-and-Telenor?tc=F1618B4A5A8D4BBC9414DAA8FC6CD519</vt:lpwstr>
      </vt:variant>
      <vt:variant>
        <vt:lpwstr/>
      </vt:variant>
      <vt:variant>
        <vt:i4>6291510</vt:i4>
      </vt:variant>
      <vt:variant>
        <vt:i4>9</vt:i4>
      </vt:variant>
      <vt:variant>
        <vt:i4>0</vt:i4>
      </vt:variant>
      <vt:variant>
        <vt:i4>5</vt:i4>
      </vt:variant>
      <vt:variant>
        <vt:lpwstr>http://en.kfst.dk/Indhold-KFST/English/Decisions/20120229-Radio-Access-Network-sharing-agreement-between-Telia-Denmark-and-Telenor?tc=F1618B4A5A8D4BBC9414DAA8FC6CD519</vt:lpwstr>
      </vt:variant>
      <vt:variant>
        <vt:lpwstr/>
      </vt:variant>
      <vt:variant>
        <vt:i4>8192034</vt:i4>
      </vt:variant>
      <vt:variant>
        <vt:i4>6</vt:i4>
      </vt:variant>
      <vt:variant>
        <vt:i4>0</vt:i4>
      </vt:variant>
      <vt:variant>
        <vt:i4>5</vt:i4>
      </vt:variant>
      <vt:variant>
        <vt:lpwstr>http://www.ofcom.org.uk/static/archive/oftel/publications/mobile/infrashare0501.htm</vt:lpwstr>
      </vt:variant>
      <vt:variant>
        <vt:lpwstr/>
      </vt:variant>
      <vt:variant>
        <vt:i4>93</vt:i4>
      </vt:variant>
      <vt:variant>
        <vt:i4>3</vt:i4>
      </vt:variant>
      <vt:variant>
        <vt:i4>0</vt:i4>
      </vt:variant>
      <vt:variant>
        <vt:i4>5</vt:i4>
      </vt:variant>
      <vt:variant>
        <vt:lpwstr>http://rspg-spectrum.eu/_documents/documents/meeting/rspg25/rspg11-374_final_joint_rspg_berec_report.pdf</vt:lpwstr>
      </vt:variant>
      <vt:variant>
        <vt:lpwstr/>
      </vt:variant>
      <vt:variant>
        <vt:i4>93</vt:i4>
      </vt:variant>
      <vt:variant>
        <vt:i4>0</vt:i4>
      </vt:variant>
      <vt:variant>
        <vt:i4>0</vt:i4>
      </vt:variant>
      <vt:variant>
        <vt:i4>5</vt:i4>
      </vt:variant>
      <vt:variant>
        <vt:lpwstr>http://rspg-spectrum.eu/_documents/documents/meeting/rspg25/rspg11-374_final_joint_rspg_berec_report.pdf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ŠPINKOVÁ Tereza</dc:creator>
  <cp:keywords/>
  <dc:description/>
  <cp:lastModifiedBy>ŠUBRT Pavel</cp:lastModifiedBy>
  <cp:revision>4</cp:revision>
  <cp:lastPrinted>2015-08-17T08:24:00Z</cp:lastPrinted>
  <dcterms:created xsi:type="dcterms:W3CDTF">2015-09-04T06:02:00Z</dcterms:created>
  <dcterms:modified xsi:type="dcterms:W3CDTF">2015-09-04T06:19:00Z</dcterms:modified>
</cp:coreProperties>
</file>