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43" w:rsidRPr="00E1058D" w:rsidRDefault="00DC6479" w:rsidP="007E17B5">
      <w:pPr>
        <w:jc w:val="both"/>
        <w:rPr>
          <w:rFonts w:ascii="Arial" w:hAnsi="Arial" w:cs="Arial"/>
          <w:b/>
          <w:snapToGrid w:val="0"/>
          <w:color w:val="000000"/>
        </w:rPr>
      </w:pPr>
      <w:r w:rsidRPr="00EC6451">
        <w:rPr>
          <w:rFonts w:ascii="Arial" w:hAnsi="Arial" w:cs="Arial"/>
          <w:b/>
          <w:snapToGrid w:val="0"/>
          <w:color w:val="000000"/>
        </w:rPr>
        <w:t xml:space="preserve">Tabulka vypořádání </w:t>
      </w:r>
      <w:r w:rsidR="0025140E">
        <w:rPr>
          <w:rFonts w:ascii="Arial" w:hAnsi="Arial" w:cs="Arial"/>
          <w:b/>
          <w:snapToGrid w:val="0"/>
          <w:color w:val="000000"/>
        </w:rPr>
        <w:t>připomínek k návrhům</w:t>
      </w:r>
      <w:r w:rsidR="00E1058D" w:rsidRPr="00E1058D">
        <w:rPr>
          <w:rFonts w:ascii="Arial" w:hAnsi="Arial" w:cs="Arial"/>
          <w:b/>
          <w:snapToGrid w:val="0"/>
          <w:color w:val="000000"/>
        </w:rPr>
        <w:t xml:space="preserve"> rozhodnutí o ceně ve věci</w:t>
      </w:r>
      <w:r w:rsidR="00F8625D">
        <w:rPr>
          <w:rFonts w:ascii="Arial" w:hAnsi="Arial" w:cs="Arial"/>
          <w:b/>
          <w:snapToGrid w:val="0"/>
          <w:color w:val="000000"/>
        </w:rPr>
        <w:t xml:space="preserve"> </w:t>
      </w:r>
      <w:r w:rsidR="00F8625D" w:rsidRPr="00F8625D">
        <w:rPr>
          <w:rFonts w:ascii="Arial" w:hAnsi="Arial" w:cs="Arial"/>
          <w:b/>
          <w:snapToGrid w:val="0"/>
          <w:color w:val="000000"/>
        </w:rPr>
        <w:t>uložení povinnosti souvi</w:t>
      </w:r>
      <w:r w:rsidR="0025140E">
        <w:rPr>
          <w:rFonts w:ascii="Arial" w:hAnsi="Arial" w:cs="Arial"/>
          <w:b/>
          <w:snapToGrid w:val="0"/>
          <w:color w:val="000000"/>
        </w:rPr>
        <w:t>sející s regulací cen podnikům</w:t>
      </w:r>
      <w:r w:rsidR="001B3F91">
        <w:rPr>
          <w:rFonts w:ascii="Arial" w:hAnsi="Arial" w:cs="Arial"/>
          <w:b/>
          <w:snapToGrid w:val="0"/>
          <w:color w:val="000000"/>
        </w:rPr>
        <w:t xml:space="preserve"> s </w:t>
      </w:r>
      <w:r w:rsidR="00F8625D" w:rsidRPr="00F8625D">
        <w:rPr>
          <w:rFonts w:ascii="Arial" w:hAnsi="Arial" w:cs="Arial"/>
          <w:b/>
          <w:snapToGrid w:val="0"/>
          <w:color w:val="000000"/>
        </w:rPr>
        <w:t>významnou tržn</w:t>
      </w:r>
      <w:r w:rsidR="0046718B">
        <w:rPr>
          <w:rFonts w:ascii="Arial" w:hAnsi="Arial" w:cs="Arial"/>
          <w:b/>
          <w:snapToGrid w:val="0"/>
          <w:color w:val="000000"/>
        </w:rPr>
        <w:t>í silou na relevantním trhu č. 7</w:t>
      </w:r>
      <w:r w:rsidR="00F8625D" w:rsidRPr="00F8625D">
        <w:rPr>
          <w:rFonts w:ascii="Arial" w:hAnsi="Arial" w:cs="Arial"/>
          <w:b/>
          <w:snapToGrid w:val="0"/>
          <w:color w:val="000000"/>
        </w:rPr>
        <w:t xml:space="preserve"> – </w:t>
      </w:r>
      <w:r w:rsidR="0046718B" w:rsidRPr="0046718B">
        <w:rPr>
          <w:rFonts w:ascii="Arial" w:hAnsi="Arial" w:cs="Arial"/>
          <w:b/>
          <w:snapToGrid w:val="0"/>
          <w:color w:val="000000"/>
        </w:rPr>
        <w:t>ukončení hlasového volání (terminace) v jednotlivých veřejných mobilních telefonních sítích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3380"/>
        <w:gridCol w:w="1945"/>
        <w:gridCol w:w="3611"/>
        <w:gridCol w:w="3664"/>
      </w:tblGrid>
      <w:tr w:rsidR="00BC2A4D" w:rsidRPr="00EC6451" w:rsidTr="005374B2">
        <w:tc>
          <w:tcPr>
            <w:tcW w:w="0" w:type="auto"/>
            <w:vAlign w:val="center"/>
          </w:tcPr>
          <w:p w:rsidR="005374B2" w:rsidRPr="00EC6451" w:rsidRDefault="005374B2" w:rsidP="001C4E11">
            <w:pPr>
              <w:jc w:val="center"/>
              <w:rPr>
                <w:rFonts w:ascii="Arial" w:hAnsi="Arial" w:cs="Arial"/>
                <w:b/>
                <w:sz w:val="22"/>
                <w:szCs w:val="22"/>
              </w:rPr>
            </w:pPr>
            <w:r w:rsidRPr="00EC6451">
              <w:rPr>
                <w:rFonts w:ascii="Arial" w:hAnsi="Arial" w:cs="Arial"/>
                <w:b/>
                <w:sz w:val="22"/>
                <w:szCs w:val="22"/>
              </w:rPr>
              <w:t>Čl., odst., písm., bod</w:t>
            </w:r>
          </w:p>
        </w:tc>
        <w:tc>
          <w:tcPr>
            <w:tcW w:w="0" w:type="auto"/>
            <w:vAlign w:val="center"/>
          </w:tcPr>
          <w:p w:rsidR="005374B2" w:rsidRPr="00EC6451" w:rsidRDefault="005374B2" w:rsidP="001C4E11">
            <w:pPr>
              <w:jc w:val="center"/>
              <w:rPr>
                <w:rFonts w:ascii="Arial" w:hAnsi="Arial" w:cs="Arial"/>
                <w:b/>
                <w:sz w:val="22"/>
                <w:szCs w:val="22"/>
              </w:rPr>
            </w:pPr>
            <w:r w:rsidRPr="00EC6451">
              <w:rPr>
                <w:rFonts w:ascii="Arial" w:hAnsi="Arial" w:cs="Arial"/>
                <w:b/>
                <w:sz w:val="22"/>
                <w:szCs w:val="22"/>
              </w:rPr>
              <w:t>Původní text návrhu</w:t>
            </w:r>
          </w:p>
        </w:tc>
        <w:tc>
          <w:tcPr>
            <w:tcW w:w="0" w:type="auto"/>
            <w:vAlign w:val="center"/>
          </w:tcPr>
          <w:p w:rsidR="005374B2" w:rsidRPr="00EC6451" w:rsidRDefault="005374B2" w:rsidP="001C4E11">
            <w:pPr>
              <w:jc w:val="center"/>
              <w:rPr>
                <w:rFonts w:ascii="Arial" w:hAnsi="Arial" w:cs="Arial"/>
                <w:b/>
                <w:sz w:val="22"/>
                <w:szCs w:val="22"/>
              </w:rPr>
            </w:pPr>
            <w:r w:rsidRPr="00EC6451">
              <w:rPr>
                <w:rFonts w:ascii="Arial" w:hAnsi="Arial" w:cs="Arial"/>
                <w:b/>
                <w:sz w:val="22"/>
                <w:szCs w:val="22"/>
              </w:rPr>
              <w:t>Připomínkující subjekt (pořadové číslo připomínky)</w:t>
            </w:r>
          </w:p>
        </w:tc>
        <w:tc>
          <w:tcPr>
            <w:tcW w:w="0" w:type="auto"/>
            <w:vAlign w:val="center"/>
          </w:tcPr>
          <w:p w:rsidR="005374B2" w:rsidRPr="00EC6451" w:rsidRDefault="005374B2" w:rsidP="001C4E11">
            <w:pPr>
              <w:jc w:val="center"/>
              <w:rPr>
                <w:rFonts w:ascii="Arial" w:hAnsi="Arial" w:cs="Arial"/>
                <w:b/>
                <w:sz w:val="22"/>
                <w:szCs w:val="22"/>
              </w:rPr>
            </w:pPr>
            <w:r w:rsidRPr="00EC6451">
              <w:rPr>
                <w:rFonts w:ascii="Arial" w:hAnsi="Arial" w:cs="Arial"/>
                <w:b/>
                <w:sz w:val="22"/>
                <w:szCs w:val="22"/>
              </w:rPr>
              <w:t>Pozměňovací návrh</w:t>
            </w:r>
          </w:p>
        </w:tc>
        <w:tc>
          <w:tcPr>
            <w:tcW w:w="0" w:type="auto"/>
            <w:vAlign w:val="center"/>
          </w:tcPr>
          <w:p w:rsidR="005374B2" w:rsidRPr="00EC6451" w:rsidRDefault="005374B2" w:rsidP="001C4E11">
            <w:pPr>
              <w:jc w:val="center"/>
              <w:rPr>
                <w:rFonts w:ascii="Arial" w:hAnsi="Arial" w:cs="Arial"/>
                <w:b/>
                <w:sz w:val="22"/>
                <w:szCs w:val="22"/>
              </w:rPr>
            </w:pPr>
            <w:r w:rsidRPr="00EC6451">
              <w:rPr>
                <w:rFonts w:ascii="Arial" w:hAnsi="Arial" w:cs="Arial"/>
                <w:b/>
                <w:sz w:val="22"/>
                <w:szCs w:val="22"/>
              </w:rPr>
              <w:t>Stanovisko ČTÚ</w:t>
            </w:r>
          </w:p>
        </w:tc>
      </w:tr>
      <w:tr w:rsidR="00BC2A4D" w:rsidRPr="00EC6451" w:rsidTr="005374B2">
        <w:tc>
          <w:tcPr>
            <w:tcW w:w="0" w:type="auto"/>
          </w:tcPr>
          <w:p w:rsidR="005374B2" w:rsidRDefault="005374B2" w:rsidP="002D7B79">
            <w:pPr>
              <w:spacing w:after="60"/>
              <w:rPr>
                <w:rFonts w:ascii="Arial" w:hAnsi="Arial" w:cs="Arial"/>
                <w:sz w:val="20"/>
                <w:szCs w:val="20"/>
              </w:rPr>
            </w:pPr>
            <w:r w:rsidRPr="00E63BB4">
              <w:rPr>
                <w:rFonts w:ascii="Arial" w:hAnsi="Arial" w:cs="Arial"/>
                <w:sz w:val="20"/>
                <w:szCs w:val="20"/>
              </w:rPr>
              <w:t>Obecná poznámka</w:t>
            </w:r>
            <w:r>
              <w:rPr>
                <w:rFonts w:ascii="Arial" w:hAnsi="Arial" w:cs="Arial"/>
                <w:sz w:val="20"/>
                <w:szCs w:val="20"/>
              </w:rPr>
              <w:t>,</w:t>
            </w:r>
          </w:p>
          <w:p w:rsidR="005374B2" w:rsidRPr="00E63BB4" w:rsidRDefault="005374B2" w:rsidP="002D7B79">
            <w:pPr>
              <w:spacing w:after="60"/>
              <w:rPr>
                <w:rFonts w:ascii="Arial" w:hAnsi="Arial" w:cs="Arial"/>
                <w:sz w:val="20"/>
                <w:szCs w:val="20"/>
              </w:rPr>
            </w:pPr>
            <w:r>
              <w:rPr>
                <w:rFonts w:ascii="Arial" w:hAnsi="Arial" w:cs="Arial"/>
                <w:sz w:val="20"/>
                <w:szCs w:val="20"/>
              </w:rPr>
              <w:t>řádek 67-71</w:t>
            </w:r>
          </w:p>
        </w:tc>
        <w:tc>
          <w:tcPr>
            <w:tcW w:w="0" w:type="auto"/>
          </w:tcPr>
          <w:p w:rsidR="005374B2" w:rsidRPr="005374B2" w:rsidRDefault="005374B2" w:rsidP="005374B2">
            <w:pPr>
              <w:spacing w:after="60"/>
              <w:jc w:val="both"/>
              <w:rPr>
                <w:rFonts w:ascii="Arial" w:hAnsi="Arial" w:cs="Arial"/>
                <w:color w:val="000000"/>
                <w:sz w:val="20"/>
                <w:szCs w:val="20"/>
              </w:rPr>
            </w:pPr>
            <w:r w:rsidRPr="005374B2">
              <w:rPr>
                <w:rFonts w:ascii="Arial" w:hAnsi="Arial" w:cs="Arial"/>
                <w:color w:val="000000"/>
                <w:sz w:val="20"/>
                <w:szCs w:val="20"/>
              </w:rPr>
              <w:t>Správní orgán je s ohledem na ustanovení § 108 odst. 3 Zákona povinen při výkonu své působnosti vycházet rovněž z doporučení Evropské komise. Rozhodne-li se správní orgán nepostupovat podle doporučení Evropské komise, kterým se harmonizuje uplatňování práva Evropské unie upravujícího oblast elektronických komunikací, bezodkladně o tom Evr</w:t>
            </w:r>
            <w:r w:rsidR="00646917">
              <w:rPr>
                <w:rFonts w:ascii="Arial" w:hAnsi="Arial" w:cs="Arial"/>
                <w:color w:val="000000"/>
                <w:sz w:val="20"/>
                <w:szCs w:val="20"/>
              </w:rPr>
              <w:t>opskou komisi informuje spolu s </w:t>
            </w:r>
            <w:r w:rsidRPr="005374B2">
              <w:rPr>
                <w:rFonts w:ascii="Arial" w:hAnsi="Arial" w:cs="Arial"/>
                <w:color w:val="000000"/>
                <w:sz w:val="20"/>
                <w:szCs w:val="20"/>
              </w:rPr>
              <w:t>odůvodněním takového postupu.</w:t>
            </w:r>
          </w:p>
        </w:tc>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t>Telefónica Czech Republic, a.s.</w:t>
            </w:r>
            <w:r w:rsidRPr="00E63BB4">
              <w:rPr>
                <w:rFonts w:ascii="Arial" w:hAnsi="Arial" w:cs="Arial"/>
                <w:sz w:val="20"/>
                <w:szCs w:val="20"/>
              </w:rPr>
              <w:t xml:space="preserve"> </w:t>
            </w:r>
            <w:r>
              <w:rPr>
                <w:rFonts w:ascii="Arial" w:hAnsi="Arial" w:cs="Arial"/>
                <w:bCs/>
                <w:color w:val="000000"/>
                <w:sz w:val="20"/>
                <w:szCs w:val="20"/>
              </w:rPr>
              <w:t>(1</w:t>
            </w:r>
            <w:r w:rsidRPr="00E63BB4">
              <w:rPr>
                <w:rFonts w:ascii="Arial" w:hAnsi="Arial" w:cs="Arial"/>
                <w:bCs/>
                <w:color w:val="000000"/>
                <w:sz w:val="20"/>
                <w:szCs w:val="20"/>
              </w:rPr>
              <w:t>)</w:t>
            </w:r>
          </w:p>
        </w:tc>
        <w:tc>
          <w:tcPr>
            <w:tcW w:w="0" w:type="auto"/>
          </w:tcPr>
          <w:p w:rsidR="005374B2" w:rsidRDefault="005374B2" w:rsidP="005374B2">
            <w:pPr>
              <w:pStyle w:val="Default"/>
              <w:spacing w:after="60"/>
              <w:jc w:val="both"/>
              <w:rPr>
                <w:rFonts w:ascii="Arial" w:hAnsi="Arial" w:cs="Arial"/>
                <w:sz w:val="20"/>
                <w:szCs w:val="20"/>
              </w:rPr>
            </w:pPr>
            <w:r>
              <w:rPr>
                <w:rFonts w:ascii="Arial" w:hAnsi="Arial" w:cs="Arial"/>
                <w:sz w:val="20"/>
                <w:szCs w:val="20"/>
              </w:rPr>
              <w:t xml:space="preserve">Připomínkující subjekt vyjádřil nesouhlas s výpočtem ceny za terminaci v mobilní síti prostřednictvím metodiky LRIC </w:t>
            </w:r>
            <w:proofErr w:type="spellStart"/>
            <w:r>
              <w:rPr>
                <w:rFonts w:ascii="Arial" w:hAnsi="Arial" w:cs="Arial"/>
                <w:sz w:val="20"/>
                <w:szCs w:val="20"/>
              </w:rPr>
              <w:t>pure</w:t>
            </w:r>
            <w:proofErr w:type="spellEnd"/>
            <w:r>
              <w:rPr>
                <w:rFonts w:ascii="Arial" w:hAnsi="Arial" w:cs="Arial"/>
                <w:sz w:val="20"/>
                <w:szCs w:val="20"/>
              </w:rPr>
              <w:t xml:space="preserve"> jak je uvedeno v návrhu rozhodnutí o ceně na řádcích 67 – 71. Připomínkující subjekt nadále trvá na své připomínce k návrhu rozhodnutí o ceně, ve které uvádí, že Úřad</w:t>
            </w:r>
            <w:r w:rsidRPr="00C17529">
              <w:rPr>
                <w:rFonts w:ascii="Arial" w:hAnsi="Arial" w:cs="Arial"/>
                <w:sz w:val="20"/>
                <w:szCs w:val="20"/>
              </w:rPr>
              <w:t xml:space="preserve"> je</w:t>
            </w:r>
            <w:r>
              <w:rPr>
                <w:rFonts w:ascii="Arial" w:hAnsi="Arial" w:cs="Arial"/>
                <w:sz w:val="20"/>
                <w:szCs w:val="20"/>
              </w:rPr>
              <w:t xml:space="preserve"> sice s ohledem na ustanovení § </w:t>
            </w:r>
            <w:r w:rsidRPr="00C17529">
              <w:rPr>
                <w:rFonts w:ascii="Arial" w:hAnsi="Arial" w:cs="Arial"/>
                <w:sz w:val="20"/>
                <w:szCs w:val="20"/>
              </w:rPr>
              <w:t xml:space="preserve">108 odst. 3 </w:t>
            </w:r>
            <w:r>
              <w:rPr>
                <w:rFonts w:ascii="Arial" w:hAnsi="Arial" w:cs="Arial"/>
                <w:sz w:val="20"/>
                <w:szCs w:val="20"/>
              </w:rPr>
              <w:t>zákona č. 127/2005 Sb., o </w:t>
            </w:r>
            <w:r w:rsidR="00646917">
              <w:rPr>
                <w:rFonts w:ascii="Arial" w:hAnsi="Arial" w:cs="Arial"/>
                <w:sz w:val="20"/>
                <w:szCs w:val="20"/>
              </w:rPr>
              <w:t>elektronických komunikacích a o </w:t>
            </w:r>
            <w:r w:rsidRPr="00C17529">
              <w:rPr>
                <w:rFonts w:ascii="Arial" w:hAnsi="Arial" w:cs="Arial"/>
                <w:sz w:val="20"/>
                <w:szCs w:val="20"/>
              </w:rPr>
              <w:t>změně některých</w:t>
            </w:r>
            <w:r>
              <w:rPr>
                <w:rFonts w:ascii="Arial" w:hAnsi="Arial" w:cs="Arial"/>
                <w:sz w:val="20"/>
                <w:szCs w:val="20"/>
              </w:rPr>
              <w:t xml:space="preserve"> souvisejících zákonů (zákon o </w:t>
            </w:r>
            <w:r w:rsidRPr="00C17529">
              <w:rPr>
                <w:rFonts w:ascii="Arial" w:hAnsi="Arial" w:cs="Arial"/>
                <w:sz w:val="20"/>
                <w:szCs w:val="20"/>
              </w:rPr>
              <w:t xml:space="preserve">elektronických komunikacích), ve znění pozdějších předpisů (dále jen „Zákon“) povinen při výkonu své působnosti vycházet rovněž z doporučení Evropské komise, má ale možnost se jimi neřídit, pokud o tom informuje Evropskou komisi s patřičným odůvodněním. </w:t>
            </w:r>
            <w:r>
              <w:rPr>
                <w:rFonts w:ascii="Arial" w:hAnsi="Arial" w:cs="Arial"/>
                <w:sz w:val="20"/>
                <w:szCs w:val="20"/>
              </w:rPr>
              <w:t>Připomínkující subjekt</w:t>
            </w:r>
            <w:r w:rsidRPr="00C17529">
              <w:rPr>
                <w:rFonts w:ascii="Arial" w:hAnsi="Arial" w:cs="Arial"/>
                <w:sz w:val="20"/>
                <w:szCs w:val="20"/>
              </w:rPr>
              <w:t xml:space="preserve"> považuje za pochybení, že </w:t>
            </w:r>
            <w:r>
              <w:rPr>
                <w:rFonts w:ascii="Arial" w:hAnsi="Arial" w:cs="Arial"/>
                <w:sz w:val="20"/>
                <w:szCs w:val="20"/>
              </w:rPr>
              <w:t xml:space="preserve">Úřad </w:t>
            </w:r>
            <w:r w:rsidRPr="00C17529">
              <w:rPr>
                <w:rFonts w:ascii="Arial" w:hAnsi="Arial" w:cs="Arial"/>
                <w:sz w:val="20"/>
                <w:szCs w:val="20"/>
              </w:rPr>
              <w:t xml:space="preserve">tuto možnost nevyužil. Současně </w:t>
            </w:r>
            <w:r>
              <w:rPr>
                <w:rFonts w:ascii="Arial" w:hAnsi="Arial" w:cs="Arial"/>
                <w:sz w:val="20"/>
                <w:szCs w:val="20"/>
              </w:rPr>
              <w:t xml:space="preserve">připomínkující subjekt </w:t>
            </w:r>
            <w:r w:rsidRPr="00C17529">
              <w:rPr>
                <w:rFonts w:ascii="Arial" w:hAnsi="Arial" w:cs="Arial"/>
                <w:sz w:val="20"/>
                <w:szCs w:val="20"/>
              </w:rPr>
              <w:t>poukazuje na Doporučení</w:t>
            </w:r>
            <w:r>
              <w:rPr>
                <w:rFonts w:ascii="Arial" w:hAnsi="Arial" w:cs="Arial"/>
                <w:sz w:val="20"/>
                <w:szCs w:val="20"/>
              </w:rPr>
              <w:t xml:space="preserve"> komise 2009/396/ES (dále jen „Doporučení“)</w:t>
            </w:r>
            <w:r w:rsidRPr="00C17529">
              <w:rPr>
                <w:rFonts w:ascii="Arial" w:hAnsi="Arial" w:cs="Arial"/>
                <w:sz w:val="20"/>
                <w:szCs w:val="20"/>
              </w:rPr>
              <w:t xml:space="preserve">, podle něhož se připravují modely pro výpočet ceny za terminaci, a které je podle </w:t>
            </w:r>
            <w:r>
              <w:rPr>
                <w:rFonts w:ascii="Arial" w:hAnsi="Arial" w:cs="Arial"/>
                <w:sz w:val="20"/>
                <w:szCs w:val="20"/>
              </w:rPr>
              <w:t>připomínkujícího subjektu</w:t>
            </w:r>
            <w:r w:rsidRPr="00C17529">
              <w:rPr>
                <w:rFonts w:ascii="Arial" w:hAnsi="Arial" w:cs="Arial"/>
                <w:sz w:val="20"/>
                <w:szCs w:val="20"/>
              </w:rPr>
              <w:t xml:space="preserve"> ze strany Evropské komise zamýšleno pouze jako doporučení, jakým způsobem lze </w:t>
            </w:r>
            <w:r w:rsidRPr="00C17529">
              <w:rPr>
                <w:rFonts w:ascii="Arial" w:hAnsi="Arial" w:cs="Arial"/>
                <w:sz w:val="20"/>
                <w:szCs w:val="20"/>
              </w:rPr>
              <w:lastRenderedPageBreak/>
              <w:t>při výpočtu ceny za terminaci postupovat. Nejedná se tedy o právně závazný dokument.</w:t>
            </w:r>
          </w:p>
          <w:p w:rsidR="0003618D" w:rsidRPr="00AF1146" w:rsidRDefault="0003618D" w:rsidP="005374B2">
            <w:pPr>
              <w:pStyle w:val="Default"/>
              <w:spacing w:after="60"/>
              <w:jc w:val="both"/>
              <w:rPr>
                <w:rFonts w:ascii="Arial" w:hAnsi="Arial" w:cs="Arial"/>
                <w:sz w:val="20"/>
                <w:szCs w:val="20"/>
              </w:rPr>
            </w:pPr>
            <w:r>
              <w:rPr>
                <w:rFonts w:ascii="Arial" w:hAnsi="Arial" w:cs="Arial"/>
                <w:sz w:val="20"/>
                <w:szCs w:val="20"/>
              </w:rPr>
              <w:t>Dále připomínkující subjekt namítal, že Úřad nezhodnotil riziko nezahrnutí</w:t>
            </w:r>
            <w:r w:rsidR="00646917">
              <w:rPr>
                <w:rFonts w:ascii="Arial" w:hAnsi="Arial" w:cs="Arial"/>
                <w:sz w:val="20"/>
                <w:szCs w:val="20"/>
              </w:rPr>
              <w:t xml:space="preserve"> některých nákladů (sdílených a </w:t>
            </w:r>
            <w:r>
              <w:rPr>
                <w:rFonts w:ascii="Arial" w:hAnsi="Arial" w:cs="Arial"/>
                <w:sz w:val="20"/>
                <w:szCs w:val="20"/>
              </w:rPr>
              <w:t>společných) do nákladů na jiné služby a principy stanovené v Doporučení popírají princip příčinné souvislosti nákladů na jednotlivé služby a vedou k deformaci cen nejen služeb za terminaci, ale především ostatních služeb.</w:t>
            </w:r>
          </w:p>
        </w:tc>
        <w:tc>
          <w:tcPr>
            <w:tcW w:w="0" w:type="auto"/>
          </w:tcPr>
          <w:p w:rsidR="005374B2" w:rsidRPr="00C17529" w:rsidRDefault="005374B2" w:rsidP="00A4511B">
            <w:pPr>
              <w:spacing w:after="60"/>
              <w:jc w:val="both"/>
              <w:rPr>
                <w:rFonts w:ascii="Arial" w:hAnsi="Arial" w:cs="Arial"/>
                <w:sz w:val="20"/>
                <w:szCs w:val="20"/>
              </w:rPr>
            </w:pPr>
            <w:r w:rsidRPr="00C17529">
              <w:rPr>
                <w:rFonts w:ascii="Arial" w:hAnsi="Arial" w:cs="Arial"/>
                <w:sz w:val="20"/>
                <w:szCs w:val="20"/>
              </w:rPr>
              <w:lastRenderedPageBreak/>
              <w:t>Neakceptováno</w:t>
            </w:r>
          </w:p>
          <w:p w:rsidR="0003618D" w:rsidRDefault="0003618D" w:rsidP="007D3C50">
            <w:pPr>
              <w:spacing w:after="60"/>
              <w:jc w:val="both"/>
              <w:rPr>
                <w:rFonts w:ascii="Arial" w:hAnsi="Arial"/>
                <w:sz w:val="20"/>
                <w:szCs w:val="20"/>
              </w:rPr>
            </w:pPr>
            <w:r>
              <w:rPr>
                <w:rFonts w:ascii="Arial" w:hAnsi="Arial"/>
                <w:sz w:val="20"/>
                <w:szCs w:val="20"/>
              </w:rPr>
              <w:t>Úřad</w:t>
            </w:r>
            <w:r w:rsidR="005374B2" w:rsidRPr="00C17529">
              <w:rPr>
                <w:rFonts w:ascii="Arial" w:hAnsi="Arial"/>
                <w:sz w:val="20"/>
                <w:szCs w:val="20"/>
              </w:rPr>
              <w:t xml:space="preserve"> </w:t>
            </w:r>
            <w:r w:rsidR="005374B2">
              <w:rPr>
                <w:rFonts w:ascii="Arial" w:hAnsi="Arial"/>
                <w:sz w:val="20"/>
                <w:szCs w:val="20"/>
              </w:rPr>
              <w:t>se již</w:t>
            </w:r>
            <w:r>
              <w:rPr>
                <w:rFonts w:ascii="Arial" w:hAnsi="Arial"/>
                <w:sz w:val="20"/>
                <w:szCs w:val="20"/>
              </w:rPr>
              <w:t xml:space="preserve"> k obdobným připomínkám připomínkujícího subjektu vyjádřil v rámci návrhu rozhodnutí o ceně a na svých argumentech setrvává.</w:t>
            </w:r>
          </w:p>
          <w:p w:rsidR="005374B2" w:rsidRDefault="0003618D" w:rsidP="0003618D">
            <w:pPr>
              <w:spacing w:after="60"/>
              <w:jc w:val="both"/>
              <w:rPr>
                <w:rFonts w:ascii="Arial" w:hAnsi="Arial"/>
                <w:sz w:val="20"/>
                <w:szCs w:val="20"/>
              </w:rPr>
            </w:pPr>
            <w:r>
              <w:rPr>
                <w:rFonts w:ascii="Arial" w:hAnsi="Arial"/>
                <w:sz w:val="20"/>
                <w:szCs w:val="20"/>
              </w:rPr>
              <w:t xml:space="preserve">Na tomto místě tak pro úplnost znovu opakuje, </w:t>
            </w:r>
            <w:r w:rsidR="005374B2">
              <w:rPr>
                <w:rFonts w:ascii="Arial" w:hAnsi="Arial"/>
                <w:sz w:val="20"/>
                <w:szCs w:val="20"/>
              </w:rPr>
              <w:t xml:space="preserve">že </w:t>
            </w:r>
            <w:r>
              <w:rPr>
                <w:rFonts w:ascii="Arial" w:hAnsi="Arial"/>
                <w:sz w:val="20"/>
                <w:szCs w:val="20"/>
              </w:rPr>
              <w:t>je si vědom skutečnosti, že</w:t>
            </w:r>
            <w:r w:rsidR="005374B2" w:rsidRPr="00C17529">
              <w:rPr>
                <w:rFonts w:ascii="Arial" w:hAnsi="Arial"/>
                <w:sz w:val="20"/>
                <w:szCs w:val="20"/>
              </w:rPr>
              <w:t xml:space="preserve"> Doporučení je právním předpisem s nižší právní silou a jako takový není nadřazen Zákonu. Pokud by tedy postup navržený v Doporučení byl v rozporu se Zákonem, </w:t>
            </w:r>
            <w:r>
              <w:rPr>
                <w:rFonts w:ascii="Arial" w:hAnsi="Arial"/>
                <w:sz w:val="20"/>
                <w:szCs w:val="20"/>
              </w:rPr>
              <w:t>Úřad</w:t>
            </w:r>
            <w:r w:rsidR="005374B2" w:rsidRPr="00C17529">
              <w:rPr>
                <w:rFonts w:ascii="Arial" w:hAnsi="Arial"/>
                <w:sz w:val="20"/>
                <w:szCs w:val="20"/>
              </w:rPr>
              <w:t xml:space="preserve"> by se jím se vší určitostí neřídil. </w:t>
            </w:r>
            <w:r>
              <w:rPr>
                <w:rFonts w:ascii="Arial" w:hAnsi="Arial"/>
                <w:sz w:val="20"/>
                <w:szCs w:val="20"/>
              </w:rPr>
              <w:t>Úřad</w:t>
            </w:r>
            <w:r w:rsidR="005374B2" w:rsidRPr="00C17529">
              <w:rPr>
                <w:rFonts w:ascii="Arial" w:hAnsi="Arial"/>
                <w:sz w:val="20"/>
                <w:szCs w:val="20"/>
              </w:rPr>
              <w:t xml:space="preserve"> však konstatuje, že postupuje </w:t>
            </w:r>
            <w:r w:rsidR="005374B2">
              <w:rPr>
                <w:rFonts w:ascii="Arial" w:hAnsi="Arial"/>
                <w:sz w:val="20"/>
                <w:szCs w:val="20"/>
              </w:rPr>
              <w:t>primárně v souladu se Zákonem a </w:t>
            </w:r>
            <w:r w:rsidR="005374B2" w:rsidRPr="00C17529">
              <w:rPr>
                <w:rFonts w:ascii="Arial" w:hAnsi="Arial"/>
                <w:sz w:val="20"/>
                <w:szCs w:val="20"/>
              </w:rPr>
              <w:t xml:space="preserve">ostatními relevantními dokumenty (zejména doporučení Evropské komise, společné pozice Sdružení evropských regulačních orgánů v oblasti elektronických komunikací BEREC) se řídí jen do té míry, do jaké jsou slučitelné se Zákonem. K připomínce, že </w:t>
            </w:r>
            <w:r>
              <w:rPr>
                <w:rFonts w:ascii="Arial" w:hAnsi="Arial"/>
                <w:sz w:val="20"/>
                <w:szCs w:val="20"/>
              </w:rPr>
              <w:t>Úřad</w:t>
            </w:r>
            <w:r w:rsidR="005374B2" w:rsidRPr="00C17529">
              <w:rPr>
                <w:rFonts w:ascii="Arial" w:hAnsi="Arial"/>
                <w:sz w:val="20"/>
                <w:szCs w:val="20"/>
              </w:rPr>
              <w:t xml:space="preserve"> nevyužil možnost zdůvodnit Evropské komisi odklon od postupu navrženého v Doporučení lze z dosavadních zkušeností při implementaci Doporučení v rámci EU konstatovat, že postoj Evropské komise v této věci je takový, že úroveň konkurence a povaha soutěžních </w:t>
            </w:r>
            <w:r w:rsidR="005374B2" w:rsidRPr="00C17529">
              <w:rPr>
                <w:rFonts w:ascii="Arial" w:hAnsi="Arial"/>
                <w:sz w:val="20"/>
                <w:szCs w:val="20"/>
              </w:rPr>
              <w:lastRenderedPageBreak/>
              <w:t>problémů je na všech trzích ve všech členských státech Evropské unie stejná, což výrazně omezuje jakoukoliv možnost pro zohlednění případných národních specifik, která by mohla být použita pro zdůvodnění rozhodnutí nepostupovat v souladu s Doporučením.</w:t>
            </w:r>
          </w:p>
          <w:p w:rsidR="0003618D" w:rsidRPr="0003618D" w:rsidRDefault="0055258E" w:rsidP="0003618D">
            <w:pPr>
              <w:spacing w:after="60"/>
              <w:jc w:val="both"/>
              <w:rPr>
                <w:rFonts w:ascii="Arial" w:hAnsi="Arial"/>
                <w:sz w:val="20"/>
                <w:szCs w:val="20"/>
              </w:rPr>
            </w:pPr>
            <w:r>
              <w:rPr>
                <w:rFonts w:ascii="Arial" w:hAnsi="Arial"/>
                <w:sz w:val="20"/>
                <w:szCs w:val="20"/>
              </w:rPr>
              <w:t>K nezahrnutí sdílených a společných náklad</w:t>
            </w:r>
            <w:r w:rsidR="00646917">
              <w:rPr>
                <w:rFonts w:ascii="Arial" w:hAnsi="Arial"/>
                <w:sz w:val="20"/>
                <w:szCs w:val="20"/>
              </w:rPr>
              <w:t>ů, viz vypořádání připomínky č. </w:t>
            </w:r>
            <w:r>
              <w:rPr>
                <w:rFonts w:ascii="Arial" w:hAnsi="Arial"/>
                <w:sz w:val="20"/>
                <w:szCs w:val="20"/>
              </w:rPr>
              <w:t>2.</w:t>
            </w:r>
          </w:p>
        </w:tc>
      </w:tr>
      <w:tr w:rsidR="00BC2A4D" w:rsidRPr="00EC6451" w:rsidTr="005374B2">
        <w:tc>
          <w:tcPr>
            <w:tcW w:w="0" w:type="auto"/>
          </w:tcPr>
          <w:p w:rsidR="005374B2" w:rsidRDefault="005374B2" w:rsidP="002D7B79">
            <w:pPr>
              <w:spacing w:after="60"/>
              <w:rPr>
                <w:rFonts w:ascii="Arial" w:hAnsi="Arial" w:cs="Arial"/>
                <w:sz w:val="20"/>
                <w:szCs w:val="20"/>
              </w:rPr>
            </w:pPr>
            <w:r>
              <w:rPr>
                <w:rFonts w:ascii="Arial" w:hAnsi="Arial" w:cs="Arial"/>
                <w:sz w:val="20"/>
                <w:szCs w:val="20"/>
              </w:rPr>
              <w:lastRenderedPageBreak/>
              <w:t>Obecná poznámka</w:t>
            </w:r>
            <w:r w:rsidR="00EA4615">
              <w:rPr>
                <w:rFonts w:ascii="Arial" w:hAnsi="Arial" w:cs="Arial"/>
                <w:sz w:val="20"/>
                <w:szCs w:val="20"/>
              </w:rPr>
              <w:t>,</w:t>
            </w:r>
          </w:p>
          <w:p w:rsidR="00EA4615" w:rsidRPr="00E63BB4" w:rsidRDefault="00EA4615" w:rsidP="002D7B79">
            <w:pPr>
              <w:spacing w:after="60"/>
              <w:rPr>
                <w:rFonts w:ascii="Arial" w:hAnsi="Arial" w:cs="Arial"/>
                <w:sz w:val="20"/>
                <w:szCs w:val="20"/>
              </w:rPr>
            </w:pPr>
            <w:r>
              <w:rPr>
                <w:rFonts w:ascii="Arial" w:hAnsi="Arial" w:cs="Arial"/>
                <w:sz w:val="20"/>
                <w:szCs w:val="20"/>
              </w:rPr>
              <w:t>řádek 72-78</w:t>
            </w:r>
          </w:p>
        </w:tc>
        <w:tc>
          <w:tcPr>
            <w:tcW w:w="0" w:type="auto"/>
          </w:tcPr>
          <w:p w:rsidR="005374B2" w:rsidRPr="00E63BB4" w:rsidRDefault="00EA4615" w:rsidP="00EA4615">
            <w:pPr>
              <w:spacing w:after="60"/>
              <w:jc w:val="both"/>
              <w:rPr>
                <w:rFonts w:ascii="Arial" w:hAnsi="Arial" w:cs="Arial"/>
                <w:sz w:val="20"/>
                <w:szCs w:val="20"/>
              </w:rPr>
            </w:pPr>
            <w:r w:rsidRPr="00EA4615">
              <w:rPr>
                <w:rFonts w:ascii="Arial" w:hAnsi="Arial" w:cs="Arial"/>
                <w:sz w:val="20"/>
                <w:szCs w:val="20"/>
              </w:rPr>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r>
              <w:rPr>
                <w:rFonts w:ascii="Arial" w:hAnsi="Arial" w:cs="Arial"/>
                <w:sz w:val="20"/>
                <w:szCs w:val="20"/>
              </w:rPr>
              <w:t>.</w:t>
            </w:r>
          </w:p>
        </w:tc>
        <w:tc>
          <w:tcPr>
            <w:tcW w:w="0" w:type="auto"/>
          </w:tcPr>
          <w:p w:rsidR="005374B2" w:rsidRDefault="005374B2" w:rsidP="007D3C50">
            <w:pPr>
              <w:spacing w:after="60"/>
              <w:rPr>
                <w:rFonts w:ascii="Arial" w:hAnsi="Arial" w:cs="Arial"/>
                <w:sz w:val="20"/>
                <w:szCs w:val="20"/>
              </w:rPr>
            </w:pPr>
            <w:r>
              <w:rPr>
                <w:rFonts w:ascii="Arial" w:hAnsi="Arial" w:cs="Arial"/>
                <w:sz w:val="20"/>
                <w:szCs w:val="20"/>
              </w:rPr>
              <w:t>Telefónica Czech Republic, a.s.</w:t>
            </w:r>
            <w:r w:rsidRPr="00E63BB4">
              <w:rPr>
                <w:rFonts w:ascii="Arial" w:hAnsi="Arial" w:cs="Arial"/>
                <w:sz w:val="20"/>
                <w:szCs w:val="20"/>
              </w:rPr>
              <w:t xml:space="preserve"> </w:t>
            </w:r>
            <w:r>
              <w:rPr>
                <w:rFonts w:ascii="Arial" w:hAnsi="Arial" w:cs="Arial"/>
                <w:bCs/>
                <w:color w:val="000000"/>
                <w:sz w:val="20"/>
                <w:szCs w:val="20"/>
              </w:rPr>
              <w:t>(2</w:t>
            </w:r>
            <w:r w:rsidRPr="00E63BB4">
              <w:rPr>
                <w:rFonts w:ascii="Arial" w:hAnsi="Arial" w:cs="Arial"/>
                <w:bCs/>
                <w:color w:val="000000"/>
                <w:sz w:val="20"/>
                <w:szCs w:val="20"/>
              </w:rPr>
              <w:t>)</w:t>
            </w:r>
          </w:p>
        </w:tc>
        <w:tc>
          <w:tcPr>
            <w:tcW w:w="0" w:type="auto"/>
          </w:tcPr>
          <w:p w:rsidR="00F80CDF" w:rsidRDefault="00EA4615" w:rsidP="00F80CDF">
            <w:pPr>
              <w:autoSpaceDE w:val="0"/>
              <w:autoSpaceDN w:val="0"/>
              <w:adjustRightInd w:val="0"/>
              <w:spacing w:after="120"/>
              <w:jc w:val="both"/>
              <w:rPr>
                <w:rFonts w:ascii="Arial" w:hAnsi="Arial" w:cs="Arial"/>
                <w:sz w:val="20"/>
                <w:szCs w:val="20"/>
              </w:rPr>
            </w:pPr>
            <w:r>
              <w:rPr>
                <w:rFonts w:ascii="Arial" w:hAnsi="Arial" w:cs="Arial"/>
                <w:sz w:val="20"/>
                <w:szCs w:val="20"/>
              </w:rPr>
              <w:t>Připomínkující subjekt se</w:t>
            </w:r>
            <w:r w:rsidR="005374B2" w:rsidRPr="0022124C">
              <w:rPr>
                <w:rFonts w:ascii="Arial" w:hAnsi="Arial" w:cs="Arial"/>
                <w:sz w:val="20"/>
                <w:szCs w:val="20"/>
              </w:rPr>
              <w:t xml:space="preserve"> odvo</w:t>
            </w:r>
            <w:r w:rsidR="005374B2">
              <w:rPr>
                <w:rFonts w:ascii="Arial" w:hAnsi="Arial" w:cs="Arial"/>
                <w:sz w:val="20"/>
                <w:szCs w:val="20"/>
              </w:rPr>
              <w:t>lává na § 56 odst. 4 Zákona a § </w:t>
            </w:r>
            <w:r w:rsidR="005374B2" w:rsidRPr="0022124C">
              <w:rPr>
                <w:rFonts w:ascii="Arial" w:hAnsi="Arial" w:cs="Arial"/>
                <w:sz w:val="20"/>
                <w:szCs w:val="20"/>
              </w:rPr>
              <w:t xml:space="preserve">55 odst. 2 Zákona, podle nichž je </w:t>
            </w:r>
            <w:r>
              <w:rPr>
                <w:rFonts w:ascii="Arial" w:hAnsi="Arial" w:cs="Arial"/>
                <w:sz w:val="20"/>
                <w:szCs w:val="20"/>
              </w:rPr>
              <w:t>Úřad</w:t>
            </w:r>
            <w:r w:rsidR="005374B2" w:rsidRPr="0022124C">
              <w:rPr>
                <w:rFonts w:ascii="Arial" w:hAnsi="Arial" w:cs="Arial"/>
                <w:sz w:val="20"/>
                <w:szCs w:val="20"/>
              </w:rPr>
              <w:t xml:space="preserve"> povinen při uplatňování cenové regulace brát do úvahy ochranu subjektu, jehož ceny jsou regulovány tak, aby cena plynoucí z</w:t>
            </w:r>
            <w:r>
              <w:rPr>
                <w:rFonts w:ascii="Arial" w:hAnsi="Arial" w:cs="Arial"/>
                <w:sz w:val="20"/>
                <w:szCs w:val="20"/>
              </w:rPr>
              <w:t> </w:t>
            </w:r>
            <w:r w:rsidR="005374B2" w:rsidRPr="0022124C">
              <w:rPr>
                <w:rFonts w:ascii="Arial" w:hAnsi="Arial" w:cs="Arial"/>
                <w:sz w:val="20"/>
                <w:szCs w:val="20"/>
              </w:rPr>
              <w:t>rozhodnutí</w:t>
            </w:r>
            <w:r>
              <w:rPr>
                <w:rFonts w:ascii="Arial" w:hAnsi="Arial" w:cs="Arial"/>
                <w:sz w:val="20"/>
                <w:szCs w:val="20"/>
              </w:rPr>
              <w:t xml:space="preserve"> Úřadu</w:t>
            </w:r>
            <w:r w:rsidR="005374B2" w:rsidRPr="0022124C">
              <w:rPr>
                <w:rFonts w:ascii="Arial" w:hAnsi="Arial" w:cs="Arial"/>
                <w:sz w:val="20"/>
                <w:szCs w:val="20"/>
              </w:rPr>
              <w:t xml:space="preserve"> byla přinejmenším nákladová. Nákladově orientovaná cena má zajistit návratnost investi</w:t>
            </w:r>
            <w:r w:rsidR="005374B2">
              <w:rPr>
                <w:rFonts w:ascii="Arial" w:hAnsi="Arial" w:cs="Arial"/>
                <w:sz w:val="20"/>
                <w:szCs w:val="20"/>
              </w:rPr>
              <w:t>c v přiměřeném časovém období a </w:t>
            </w:r>
            <w:r w:rsidR="005374B2" w:rsidRPr="0022124C">
              <w:rPr>
                <w:rFonts w:ascii="Arial" w:hAnsi="Arial" w:cs="Arial"/>
                <w:sz w:val="20"/>
                <w:szCs w:val="20"/>
              </w:rPr>
              <w:t>zohlednit příslušná rizika, včetně rizik spojených s investicemi do nových sítí. V případě předmětného návrhu cenového rozhodnutí navržená maximální cena nepokrývá a</w:t>
            </w:r>
            <w:r w:rsidR="009672FB">
              <w:rPr>
                <w:rFonts w:ascii="Arial" w:hAnsi="Arial" w:cs="Arial"/>
                <w:sz w:val="20"/>
                <w:szCs w:val="20"/>
              </w:rPr>
              <w:t>ni všechny vynaložené náklady a </w:t>
            </w:r>
            <w:r w:rsidR="005374B2" w:rsidRPr="0022124C">
              <w:rPr>
                <w:rFonts w:ascii="Arial" w:hAnsi="Arial" w:cs="Arial"/>
                <w:sz w:val="20"/>
                <w:szCs w:val="20"/>
              </w:rPr>
              <w:t>nemůže tedy pokrývat ani rizika spojená s investicemi do nových sítí, jak dokládá výsledek oddělené evidence</w:t>
            </w:r>
            <w:r w:rsidR="005374B2">
              <w:rPr>
                <w:rFonts w:ascii="Arial" w:hAnsi="Arial" w:cs="Arial"/>
                <w:sz w:val="20"/>
                <w:szCs w:val="20"/>
              </w:rPr>
              <w:t xml:space="preserve"> nákladů a </w:t>
            </w:r>
            <w:r w:rsidR="005374B2" w:rsidRPr="0022124C">
              <w:rPr>
                <w:rFonts w:ascii="Arial" w:hAnsi="Arial" w:cs="Arial"/>
                <w:sz w:val="20"/>
                <w:szCs w:val="20"/>
              </w:rPr>
              <w:t>výnosů za rok 2012, neboť cena neobsahuje některé oprávněné náklady, např. sdílen</w:t>
            </w:r>
            <w:r w:rsidR="005374B2">
              <w:rPr>
                <w:rFonts w:ascii="Arial" w:hAnsi="Arial" w:cs="Arial"/>
                <w:sz w:val="20"/>
                <w:szCs w:val="20"/>
              </w:rPr>
              <w:t xml:space="preserve">é a společné náklady. </w:t>
            </w:r>
          </w:p>
          <w:p w:rsidR="005374B2" w:rsidRDefault="00F80CDF" w:rsidP="00501A95">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5374B2">
              <w:rPr>
                <w:rFonts w:ascii="Arial" w:hAnsi="Arial" w:cs="Arial"/>
                <w:sz w:val="20"/>
                <w:szCs w:val="20"/>
              </w:rPr>
              <w:t> </w:t>
            </w:r>
            <w:r w:rsidR="005374B2" w:rsidRPr="0022124C">
              <w:rPr>
                <w:rFonts w:ascii="Arial" w:hAnsi="Arial" w:cs="Arial"/>
                <w:sz w:val="20"/>
                <w:szCs w:val="20"/>
              </w:rPr>
              <w:t>nadále nes</w:t>
            </w:r>
            <w:r w:rsidR="005374B2">
              <w:rPr>
                <w:rFonts w:ascii="Arial" w:hAnsi="Arial" w:cs="Arial"/>
                <w:sz w:val="20"/>
                <w:szCs w:val="20"/>
              </w:rPr>
              <w:t>ouhlasí s metodou „</w:t>
            </w:r>
            <w:proofErr w:type="spellStart"/>
            <w:r w:rsidR="005374B2">
              <w:rPr>
                <w:rFonts w:ascii="Arial" w:hAnsi="Arial" w:cs="Arial"/>
                <w:sz w:val="20"/>
                <w:szCs w:val="20"/>
              </w:rPr>
              <w:t>pure</w:t>
            </w:r>
            <w:proofErr w:type="spellEnd"/>
            <w:r w:rsidR="005374B2">
              <w:rPr>
                <w:rFonts w:ascii="Arial" w:hAnsi="Arial" w:cs="Arial"/>
                <w:sz w:val="20"/>
                <w:szCs w:val="20"/>
              </w:rPr>
              <w:t xml:space="preserve">“ LRIC </w:t>
            </w:r>
            <w:r w:rsidR="005374B2">
              <w:rPr>
                <w:rFonts w:ascii="Arial" w:hAnsi="Arial" w:cs="Arial"/>
                <w:sz w:val="20"/>
                <w:szCs w:val="20"/>
              </w:rPr>
              <w:lastRenderedPageBreak/>
              <w:t>a </w:t>
            </w:r>
            <w:r w:rsidR="005374B2" w:rsidRPr="0022124C">
              <w:rPr>
                <w:rFonts w:ascii="Arial" w:hAnsi="Arial" w:cs="Arial"/>
                <w:sz w:val="20"/>
                <w:szCs w:val="20"/>
              </w:rPr>
              <w:t>považuje metodiku LRIC+ za maximálně možnou pro stanovení maximální ceny za terminaci v jednotli</w:t>
            </w:r>
            <w:r w:rsidR="005374B2">
              <w:rPr>
                <w:rFonts w:ascii="Arial" w:hAnsi="Arial" w:cs="Arial"/>
                <w:sz w:val="20"/>
                <w:szCs w:val="20"/>
              </w:rPr>
              <w:t>vých veřejných mobilních sítích</w:t>
            </w:r>
            <w:r w:rsidR="005374B2" w:rsidRPr="00F80CDF">
              <w:rPr>
                <w:rFonts w:ascii="Arial" w:hAnsi="Arial" w:cs="Arial"/>
                <w:sz w:val="20"/>
                <w:szCs w:val="20"/>
              </w:rPr>
              <w:t xml:space="preserve">, která podle </w:t>
            </w:r>
            <w:r w:rsidR="00501A95">
              <w:rPr>
                <w:rFonts w:ascii="Arial" w:hAnsi="Arial" w:cs="Arial"/>
                <w:sz w:val="20"/>
                <w:szCs w:val="20"/>
              </w:rPr>
              <w:t>připomínkujícího subjektu</w:t>
            </w:r>
            <w:r w:rsidR="005374B2" w:rsidRPr="00F80CDF">
              <w:rPr>
                <w:rFonts w:ascii="Arial" w:hAnsi="Arial" w:cs="Arial"/>
                <w:sz w:val="20"/>
                <w:szCs w:val="20"/>
              </w:rPr>
              <w:t xml:space="preserve"> je též metodikou vycházející z přírůstkových nákladů, ale umožňující zahrnout všechny druhy nákladů související s danou službou, tj. včetně sdílených a společných nákladů.</w:t>
            </w:r>
            <w:r w:rsidR="005374B2">
              <w:rPr>
                <w:rFonts w:ascii="Arial" w:hAnsi="Arial" w:cs="Arial"/>
                <w:sz w:val="20"/>
                <w:szCs w:val="20"/>
              </w:rPr>
              <w:t xml:space="preserve"> </w:t>
            </w:r>
          </w:p>
          <w:p w:rsidR="00501A95" w:rsidRDefault="00501A95" w:rsidP="00501A95">
            <w:pPr>
              <w:autoSpaceDE w:val="0"/>
              <w:autoSpaceDN w:val="0"/>
              <w:adjustRightInd w:val="0"/>
              <w:jc w:val="both"/>
              <w:rPr>
                <w:rFonts w:ascii="Arial" w:hAnsi="Arial" w:cs="Arial"/>
                <w:sz w:val="20"/>
                <w:szCs w:val="20"/>
              </w:rPr>
            </w:pPr>
            <w:r>
              <w:rPr>
                <w:rFonts w:ascii="Arial" w:hAnsi="Arial" w:cs="Arial"/>
                <w:sz w:val="20"/>
                <w:szCs w:val="20"/>
              </w:rPr>
              <w:t>Dále</w:t>
            </w:r>
            <w:r w:rsidRPr="000B0A3A">
              <w:rPr>
                <w:rFonts w:ascii="Arial" w:hAnsi="Arial" w:cs="Arial"/>
                <w:sz w:val="20"/>
                <w:szCs w:val="20"/>
              </w:rPr>
              <w:t xml:space="preserve"> </w:t>
            </w:r>
            <w:r>
              <w:rPr>
                <w:rFonts w:ascii="Arial" w:hAnsi="Arial" w:cs="Arial"/>
                <w:sz w:val="20"/>
                <w:szCs w:val="20"/>
              </w:rPr>
              <w:t>připomínkující subjekt</w:t>
            </w:r>
            <w:r w:rsidRPr="000B0A3A">
              <w:rPr>
                <w:rFonts w:ascii="Arial" w:hAnsi="Arial" w:cs="Arial"/>
                <w:sz w:val="20"/>
                <w:szCs w:val="20"/>
              </w:rPr>
              <w:t xml:space="preserve"> uvedl, že cílem, kterého má být v tomto případu dosaženo, je řešení problému definovaného v rámci analýzy trhu č. 7, tedy rizika uplatňování nepřiměřeně vysokých cen terminace v jednotlivých veřejnýc</w:t>
            </w:r>
            <w:r w:rsidR="00A702F3">
              <w:rPr>
                <w:rFonts w:ascii="Arial" w:hAnsi="Arial" w:cs="Arial"/>
                <w:sz w:val="20"/>
                <w:szCs w:val="20"/>
              </w:rPr>
              <w:t>h mobilních telefonních sítích.</w:t>
            </w:r>
            <w:r w:rsidRPr="000B0A3A">
              <w:rPr>
                <w:rFonts w:ascii="Arial" w:hAnsi="Arial" w:cs="Arial"/>
                <w:sz w:val="20"/>
                <w:szCs w:val="20"/>
              </w:rPr>
              <w:t xml:space="preserve"> Dle </w:t>
            </w:r>
            <w:r>
              <w:rPr>
                <w:rFonts w:ascii="Arial" w:hAnsi="Arial" w:cs="Arial"/>
                <w:sz w:val="20"/>
                <w:szCs w:val="20"/>
              </w:rPr>
              <w:t>připomínkujícího subjektu</w:t>
            </w:r>
            <w:r w:rsidRPr="000B0A3A">
              <w:rPr>
                <w:rFonts w:ascii="Arial" w:hAnsi="Arial" w:cs="Arial"/>
                <w:sz w:val="20"/>
                <w:szCs w:val="20"/>
              </w:rPr>
              <w:t xml:space="preserve"> je dosažení tohoto cíle možné realizovat uplatněním metodiky LRIC+, nikoliv metodiky „</w:t>
            </w:r>
            <w:proofErr w:type="spellStart"/>
            <w:r w:rsidRPr="000B0A3A">
              <w:rPr>
                <w:rFonts w:ascii="Arial" w:hAnsi="Arial" w:cs="Arial"/>
                <w:sz w:val="20"/>
                <w:szCs w:val="20"/>
              </w:rPr>
              <w:t>pure</w:t>
            </w:r>
            <w:proofErr w:type="spellEnd"/>
            <w:r w:rsidRPr="000B0A3A">
              <w:rPr>
                <w:rFonts w:ascii="Arial" w:hAnsi="Arial" w:cs="Arial"/>
                <w:sz w:val="20"/>
                <w:szCs w:val="20"/>
              </w:rPr>
              <w:t>“ LRIC, která představuje zcela nerealistické principy a neumožňuje zahrnutí zcela oprávněných nákladů a tudíž návratnost investic při poskytování této služby. Uplatněním metodiky „</w:t>
            </w:r>
            <w:proofErr w:type="spellStart"/>
            <w:r w:rsidRPr="000B0A3A">
              <w:rPr>
                <w:rFonts w:ascii="Arial" w:hAnsi="Arial" w:cs="Arial"/>
                <w:sz w:val="20"/>
                <w:szCs w:val="20"/>
              </w:rPr>
              <w:t>pure</w:t>
            </w:r>
            <w:proofErr w:type="spellEnd"/>
            <w:r w:rsidRPr="000B0A3A">
              <w:rPr>
                <w:rFonts w:ascii="Arial" w:hAnsi="Arial" w:cs="Arial"/>
                <w:sz w:val="20"/>
                <w:szCs w:val="20"/>
              </w:rPr>
              <w:t xml:space="preserve">“ LRIC jde </w:t>
            </w:r>
            <w:r>
              <w:rPr>
                <w:rFonts w:ascii="Arial" w:hAnsi="Arial" w:cs="Arial"/>
                <w:sz w:val="20"/>
                <w:szCs w:val="20"/>
              </w:rPr>
              <w:t>Úřad</w:t>
            </w:r>
            <w:r w:rsidRPr="000B0A3A">
              <w:rPr>
                <w:rFonts w:ascii="Arial" w:hAnsi="Arial" w:cs="Arial"/>
                <w:sz w:val="20"/>
                <w:szCs w:val="20"/>
              </w:rPr>
              <w:t xml:space="preserve"> daleko za rámec nezbytného zásahu do podnikatelské svobody regulovaného subjektu</w:t>
            </w:r>
            <w:r>
              <w:rPr>
                <w:rFonts w:ascii="Arial" w:hAnsi="Arial" w:cs="Arial"/>
                <w:sz w:val="20"/>
                <w:szCs w:val="20"/>
              </w:rPr>
              <w:t>.</w:t>
            </w:r>
          </w:p>
        </w:tc>
        <w:tc>
          <w:tcPr>
            <w:tcW w:w="0" w:type="auto"/>
          </w:tcPr>
          <w:p w:rsidR="005374B2" w:rsidRDefault="005374B2" w:rsidP="00F8625D">
            <w:pPr>
              <w:spacing w:after="60"/>
              <w:jc w:val="both"/>
              <w:rPr>
                <w:rFonts w:ascii="Arial" w:hAnsi="Arial" w:cs="Arial"/>
                <w:sz w:val="20"/>
                <w:szCs w:val="20"/>
              </w:rPr>
            </w:pPr>
            <w:r>
              <w:rPr>
                <w:rFonts w:ascii="Arial" w:hAnsi="Arial" w:cs="Arial"/>
                <w:sz w:val="20"/>
                <w:szCs w:val="20"/>
              </w:rPr>
              <w:lastRenderedPageBreak/>
              <w:t>Neakceptováno</w:t>
            </w:r>
          </w:p>
          <w:p w:rsidR="00501A95" w:rsidRDefault="00501A95" w:rsidP="00501A95">
            <w:pPr>
              <w:spacing w:after="60"/>
              <w:jc w:val="both"/>
              <w:rPr>
                <w:rFonts w:ascii="Arial" w:hAnsi="Arial"/>
                <w:sz w:val="20"/>
                <w:szCs w:val="20"/>
              </w:rPr>
            </w:pPr>
            <w:r>
              <w:rPr>
                <w:rFonts w:ascii="Arial" w:hAnsi="Arial"/>
                <w:sz w:val="20"/>
                <w:szCs w:val="20"/>
              </w:rPr>
              <w:t>Úřad</w:t>
            </w:r>
            <w:r w:rsidRPr="00C17529">
              <w:rPr>
                <w:rFonts w:ascii="Arial" w:hAnsi="Arial"/>
                <w:sz w:val="20"/>
                <w:szCs w:val="20"/>
              </w:rPr>
              <w:t xml:space="preserve"> </w:t>
            </w:r>
            <w:r>
              <w:rPr>
                <w:rFonts w:ascii="Arial" w:hAnsi="Arial"/>
                <w:sz w:val="20"/>
                <w:szCs w:val="20"/>
              </w:rPr>
              <w:t>se již k obdobným připomínkám připomínkujícího subjektu vyjádřil v rámci návrhu rozhodnutí o ceně a na svých argumentech setrvává.</w:t>
            </w:r>
          </w:p>
          <w:p w:rsidR="005374B2" w:rsidRDefault="00501A95" w:rsidP="00406DA2">
            <w:pPr>
              <w:spacing w:after="60"/>
              <w:jc w:val="both"/>
              <w:rPr>
                <w:rFonts w:ascii="Arial" w:hAnsi="Arial" w:cs="Arial"/>
                <w:sz w:val="20"/>
                <w:szCs w:val="20"/>
              </w:rPr>
            </w:pPr>
            <w:r>
              <w:rPr>
                <w:rFonts w:ascii="Arial" w:hAnsi="Arial"/>
                <w:sz w:val="20"/>
                <w:szCs w:val="20"/>
              </w:rPr>
              <w:t>Na tomto místě tak pro úplnost znovu opakuje</w:t>
            </w:r>
            <w:r w:rsidR="005374B2" w:rsidRPr="00406DA2">
              <w:rPr>
                <w:rFonts w:ascii="Arial" w:hAnsi="Arial" w:cs="Arial"/>
                <w:sz w:val="20"/>
                <w:szCs w:val="20"/>
              </w:rPr>
              <w:t>, že metoda „</w:t>
            </w:r>
            <w:proofErr w:type="spellStart"/>
            <w:r w:rsidR="005374B2" w:rsidRPr="00406DA2">
              <w:rPr>
                <w:rFonts w:ascii="Arial" w:hAnsi="Arial" w:cs="Arial"/>
                <w:sz w:val="20"/>
                <w:szCs w:val="20"/>
              </w:rPr>
              <w:t>pure</w:t>
            </w:r>
            <w:proofErr w:type="spellEnd"/>
            <w:r w:rsidR="005374B2" w:rsidRPr="00406DA2">
              <w:rPr>
                <w:rFonts w:ascii="Arial" w:hAnsi="Arial" w:cs="Arial"/>
                <w:sz w:val="20"/>
                <w:szCs w:val="20"/>
              </w:rPr>
              <w:t xml:space="preserve">“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w:t>
            </w:r>
            <w:r>
              <w:rPr>
                <w:rFonts w:ascii="Arial" w:hAnsi="Arial" w:cs="Arial"/>
                <w:sz w:val="20"/>
                <w:szCs w:val="20"/>
              </w:rPr>
              <w:t>Úřad</w:t>
            </w:r>
            <w:r w:rsidR="005374B2" w:rsidRPr="00406DA2">
              <w:rPr>
                <w:rFonts w:ascii="Arial" w:hAnsi="Arial" w:cs="Arial"/>
                <w:sz w:val="20"/>
                <w:szCs w:val="20"/>
              </w:rPr>
              <w:t xml:space="preserve"> nezpochybňuje, že </w:t>
            </w:r>
            <w:r>
              <w:rPr>
                <w:rFonts w:ascii="Arial" w:hAnsi="Arial" w:cs="Arial"/>
                <w:sz w:val="20"/>
                <w:szCs w:val="20"/>
              </w:rPr>
              <w:t>připomínkujícímu subjektu</w:t>
            </w:r>
            <w:r w:rsidR="005374B2" w:rsidRPr="00406DA2">
              <w:rPr>
                <w:rFonts w:ascii="Arial" w:hAnsi="Arial" w:cs="Arial"/>
                <w:sz w:val="20"/>
                <w:szCs w:val="20"/>
              </w:rPr>
              <w:t xml:space="preserve"> vznikají i další n</w:t>
            </w:r>
            <w:r w:rsidR="005374B2">
              <w:rPr>
                <w:rFonts w:ascii="Arial" w:hAnsi="Arial" w:cs="Arial"/>
                <w:sz w:val="20"/>
                <w:szCs w:val="20"/>
              </w:rPr>
              <w:t>áklady (např. náklady sdílené a </w:t>
            </w:r>
            <w:r w:rsidR="005374B2" w:rsidRPr="00406DA2">
              <w:rPr>
                <w:rFonts w:ascii="Arial" w:hAnsi="Arial" w:cs="Arial"/>
                <w:sz w:val="20"/>
                <w:szCs w:val="20"/>
              </w:rPr>
              <w:t xml:space="preserve">společné), tyto náklady však </w:t>
            </w:r>
            <w:r>
              <w:rPr>
                <w:rFonts w:ascii="Arial" w:hAnsi="Arial" w:cs="Arial"/>
                <w:sz w:val="20"/>
                <w:szCs w:val="20"/>
              </w:rPr>
              <w:t>připomínkujícímu subjektu</w:t>
            </w:r>
            <w:r w:rsidR="005374B2" w:rsidRPr="00406DA2">
              <w:rPr>
                <w:rFonts w:ascii="Arial" w:hAnsi="Arial" w:cs="Arial"/>
                <w:sz w:val="20"/>
                <w:szCs w:val="20"/>
              </w:rPr>
              <w:t xml:space="preserve"> nevznikají v souvislosti </w:t>
            </w:r>
            <w:r w:rsidR="005374B2" w:rsidRPr="00406DA2">
              <w:rPr>
                <w:rFonts w:ascii="Arial" w:hAnsi="Arial" w:cs="Arial"/>
                <w:sz w:val="20"/>
                <w:szCs w:val="20"/>
              </w:rPr>
              <w:lastRenderedPageBreak/>
              <w:t xml:space="preserve">s poskytováním velkoobchodní služby terminace, jinými slovy by </w:t>
            </w:r>
            <w:r>
              <w:rPr>
                <w:rFonts w:ascii="Arial" w:hAnsi="Arial" w:cs="Arial"/>
                <w:sz w:val="20"/>
                <w:szCs w:val="20"/>
              </w:rPr>
              <w:t>mu</w:t>
            </w:r>
            <w:r w:rsidR="005374B2" w:rsidRPr="00406DA2">
              <w:rPr>
                <w:rFonts w:ascii="Arial" w:hAnsi="Arial" w:cs="Arial"/>
                <w:sz w:val="20"/>
                <w:szCs w:val="20"/>
              </w:rPr>
              <w:t xml:space="preserve"> vznikly i bez poskytování této služby, a proto je </w:t>
            </w:r>
            <w:r>
              <w:rPr>
                <w:rFonts w:ascii="Arial" w:hAnsi="Arial" w:cs="Arial"/>
                <w:sz w:val="20"/>
                <w:szCs w:val="20"/>
              </w:rPr>
              <w:t>Úřad</w:t>
            </w:r>
            <w:r w:rsidR="005374B2" w:rsidRPr="00406DA2">
              <w:rPr>
                <w:rFonts w:ascii="Arial" w:hAnsi="Arial" w:cs="Arial"/>
                <w:sz w:val="20"/>
                <w:szCs w:val="20"/>
              </w:rPr>
              <w:t xml:space="preserve"> v ceně regulované služby nezohlednil. Nelze proto ani tvrdit, že by došlo k ekonomicky neopodstatněnému zvýšení nákladů jiných služeb, protože v souladu s výše uvedeným lze dovodit, že pokud by účastník řízení velkoobchodní službu terminace neposkytoval, musel by tyto náklady rovněž alokovat do cen jiných služeb. </w:t>
            </w:r>
            <w:r>
              <w:rPr>
                <w:rFonts w:ascii="Arial" w:hAnsi="Arial" w:cs="Arial"/>
                <w:sz w:val="20"/>
                <w:szCs w:val="20"/>
              </w:rPr>
              <w:t>Úřad</w:t>
            </w:r>
            <w:r w:rsidR="005374B2" w:rsidRPr="00406DA2">
              <w:rPr>
                <w:rFonts w:ascii="Arial" w:hAnsi="Arial" w:cs="Arial"/>
                <w:sz w:val="20"/>
                <w:szCs w:val="20"/>
              </w:rPr>
              <w:t xml:space="preserve">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w:t>
            </w:r>
            <w:r w:rsidR="005374B2">
              <w:rPr>
                <w:rFonts w:ascii="Arial" w:hAnsi="Arial" w:cs="Arial"/>
                <w:sz w:val="20"/>
                <w:szCs w:val="20"/>
              </w:rPr>
              <w:t>fektivně vynaložených nákladů o </w:t>
            </w:r>
            <w:r w:rsidR="005374B2" w:rsidRPr="00406DA2">
              <w:rPr>
                <w:rFonts w:ascii="Arial" w:hAnsi="Arial" w:cs="Arial"/>
                <w:sz w:val="20"/>
                <w:szCs w:val="20"/>
              </w:rPr>
              <w:t xml:space="preserve">přiměřený zisk, pro jehož stanovení </w:t>
            </w:r>
            <w:r>
              <w:rPr>
                <w:rFonts w:ascii="Arial" w:hAnsi="Arial" w:cs="Arial"/>
                <w:sz w:val="20"/>
                <w:szCs w:val="20"/>
              </w:rPr>
              <w:t>Úřad</w:t>
            </w:r>
            <w:r w:rsidR="005374B2" w:rsidRPr="00406DA2">
              <w:rPr>
                <w:rFonts w:ascii="Arial" w:hAnsi="Arial" w:cs="Arial"/>
                <w:sz w:val="20"/>
                <w:szCs w:val="20"/>
              </w:rPr>
              <w:t xml:space="preserve"> využívá procento návratnosti vloženého kapitálu před zdaněním WACC ve výši 8,26 %. Tato hodnota je specificky pro celý sektor elektronických komunikací stanovena správním orgánem v opatření obecné povahy č. </w:t>
            </w:r>
            <w:hyperlink r:id="rId7" w:history="1">
              <w:r w:rsidR="005374B2" w:rsidRPr="00406DA2">
                <w:rPr>
                  <w:rStyle w:val="Hypertextovodkaz"/>
                  <w:rFonts w:ascii="Arial" w:hAnsi="Arial" w:cs="Arial"/>
                  <w:sz w:val="20"/>
                  <w:szCs w:val="20"/>
                </w:rPr>
                <w:t>OOP/4/03.2006-3</w:t>
              </w:r>
            </w:hyperlink>
            <w:r w:rsidR="005374B2" w:rsidRPr="00406DA2">
              <w:rPr>
                <w:rFonts w:ascii="Arial" w:hAnsi="Arial" w:cs="Arial"/>
                <w:sz w:val="20"/>
                <w:szCs w:val="20"/>
              </w:rPr>
              <w:t>, kterým se stanoví metod</w:t>
            </w:r>
            <w:r w:rsidR="009672FB">
              <w:rPr>
                <w:rFonts w:ascii="Arial" w:hAnsi="Arial" w:cs="Arial"/>
                <w:sz w:val="20"/>
                <w:szCs w:val="20"/>
              </w:rPr>
              <w:t>ika účelového členění nákladů a </w:t>
            </w:r>
            <w:r w:rsidR="005374B2" w:rsidRPr="00406DA2">
              <w:rPr>
                <w:rFonts w:ascii="Arial" w:hAnsi="Arial" w:cs="Arial"/>
                <w:sz w:val="20"/>
                <w:szCs w:val="20"/>
              </w:rPr>
              <w:t xml:space="preserve">výnosů a jejich přiřazování a určuje se struktura vykazovaných informací, ve </w:t>
            </w:r>
            <w:hyperlink r:id="rId8" w:history="1">
              <w:r w:rsidR="005374B2" w:rsidRPr="00406DA2">
                <w:rPr>
                  <w:rStyle w:val="Hypertextovodkaz"/>
                  <w:rFonts w:ascii="Arial" w:hAnsi="Arial" w:cs="Arial"/>
                  <w:sz w:val="20"/>
                  <w:szCs w:val="20"/>
                </w:rPr>
                <w:t>znění pozdějších opatření</w:t>
              </w:r>
            </w:hyperlink>
            <w:r w:rsidR="005374B2" w:rsidRPr="00406DA2">
              <w:rPr>
                <w:rFonts w:ascii="Arial" w:hAnsi="Arial" w:cs="Arial"/>
                <w:sz w:val="20"/>
                <w:szCs w:val="20"/>
              </w:rPr>
              <w:t xml:space="preserve">. </w:t>
            </w:r>
            <w:r>
              <w:rPr>
                <w:rFonts w:ascii="Arial" w:hAnsi="Arial" w:cs="Arial"/>
                <w:sz w:val="20"/>
                <w:szCs w:val="20"/>
              </w:rPr>
              <w:t>Úřad</w:t>
            </w:r>
            <w:r w:rsidR="005374B2" w:rsidRPr="00406DA2">
              <w:rPr>
                <w:rFonts w:ascii="Arial" w:hAnsi="Arial" w:cs="Arial"/>
                <w:sz w:val="20"/>
                <w:szCs w:val="20"/>
              </w:rPr>
              <w:t xml:space="preserve"> je tak přesvědčen, že výpočet regulované ceny je v souladu s požadavky § 56 odst. 4, § 55 odst. 2 a § 57 odst. 3 Zákona. Odůvodnění</w:t>
            </w:r>
            <w:r w:rsidR="005374B2" w:rsidRPr="00406DA2">
              <w:rPr>
                <w:rFonts w:ascii="Arial" w:hAnsi="Arial" w:cs="Arial"/>
                <w:sz w:val="20"/>
                <w:szCs w:val="20"/>
                <w:vertAlign w:val="superscript"/>
              </w:rPr>
              <w:footnoteReference w:id="1"/>
            </w:r>
            <w:r w:rsidR="005374B2" w:rsidRPr="00406DA2">
              <w:rPr>
                <w:rFonts w:ascii="Arial" w:hAnsi="Arial" w:cs="Arial"/>
                <w:sz w:val="20"/>
                <w:szCs w:val="20"/>
              </w:rPr>
              <w:t xml:space="preserve"> pro výběr </w:t>
            </w:r>
            <w:r w:rsidR="005374B2" w:rsidRPr="00406DA2">
              <w:rPr>
                <w:rFonts w:ascii="Arial" w:hAnsi="Arial" w:cs="Arial"/>
                <w:sz w:val="20"/>
                <w:szCs w:val="20"/>
              </w:rPr>
              <w:lastRenderedPageBreak/>
              <w:t>samotné metody „</w:t>
            </w:r>
            <w:proofErr w:type="spellStart"/>
            <w:r w:rsidR="005374B2" w:rsidRPr="00406DA2">
              <w:rPr>
                <w:rFonts w:ascii="Arial" w:hAnsi="Arial" w:cs="Arial"/>
                <w:sz w:val="20"/>
                <w:szCs w:val="20"/>
              </w:rPr>
              <w:t>pure</w:t>
            </w:r>
            <w:proofErr w:type="spellEnd"/>
            <w:r w:rsidR="005374B2" w:rsidRPr="00406DA2">
              <w:rPr>
                <w:rFonts w:ascii="Arial" w:hAnsi="Arial" w:cs="Arial"/>
                <w:sz w:val="20"/>
                <w:szCs w:val="20"/>
              </w:rPr>
              <w:t>“ LRIC pak správní orgán provedl odkazem na Doporučení, ze kterého je správní orgán podle § 108 odst. 3 Zákona povinen při své působnosti vycházet.</w:t>
            </w:r>
          </w:p>
          <w:p w:rsidR="005374B2" w:rsidRPr="000E349D" w:rsidRDefault="002F378B" w:rsidP="00F8625D">
            <w:pPr>
              <w:spacing w:after="60"/>
              <w:jc w:val="both"/>
              <w:rPr>
                <w:rFonts w:ascii="Arial" w:hAnsi="Arial" w:cs="Arial"/>
                <w:sz w:val="20"/>
                <w:szCs w:val="20"/>
              </w:rPr>
            </w:pPr>
            <w:r>
              <w:rPr>
                <w:rFonts w:ascii="Arial" w:hAnsi="Arial" w:cs="Arial"/>
                <w:sz w:val="20"/>
                <w:szCs w:val="20"/>
              </w:rPr>
              <w:t xml:space="preserve">Dále Úřad konstatuje, že </w:t>
            </w:r>
            <w:r w:rsidRPr="009E7444">
              <w:rPr>
                <w:rFonts w:ascii="Arial" w:hAnsi="Arial" w:cs="Arial"/>
                <w:sz w:val="20"/>
                <w:szCs w:val="20"/>
              </w:rPr>
              <w:t>hlavním soutěžním problémem v cenové oblasti identifikovaným</w:t>
            </w:r>
            <w:r w:rsidRPr="009E7444">
              <w:rPr>
                <w:rFonts w:ascii="Arial" w:hAnsi="Arial" w:cs="Arial"/>
                <w:sz w:val="20"/>
                <w:szCs w:val="20"/>
                <w:vertAlign w:val="superscript"/>
              </w:rPr>
              <w:footnoteReference w:id="2"/>
            </w:r>
            <w:r w:rsidRPr="009E7444">
              <w:rPr>
                <w:rFonts w:ascii="Arial" w:hAnsi="Arial" w:cs="Arial"/>
                <w:sz w:val="20"/>
                <w:szCs w:val="20"/>
              </w:rPr>
              <w:t xml:space="preserve"> v průběhu analýzy relevantního trhu bylo možné uplatňování nepřiměřeně vysokých cen v neprospěch koncových uživatelů v případech, kdy by nebyla uplatněna cenová regulace. Jako regulační opatření určené k řešení soutěžního problému byla navržena povinnost související s regulací cen, a to formou maximálních cen (kalkulovaných ve výši nákladově orientovaných cen). </w:t>
            </w:r>
            <w:r w:rsidR="00A20289">
              <w:rPr>
                <w:rFonts w:ascii="Arial" w:hAnsi="Arial" w:cs="Arial"/>
                <w:sz w:val="20"/>
                <w:szCs w:val="20"/>
              </w:rPr>
              <w:t>S ohledem na § 55 odst. 2 ZEK</w:t>
            </w:r>
            <w:r w:rsidRPr="009E7444">
              <w:rPr>
                <w:rFonts w:ascii="Arial" w:hAnsi="Arial" w:cs="Arial"/>
                <w:sz w:val="20"/>
                <w:szCs w:val="20"/>
              </w:rPr>
              <w:t xml:space="preserve"> přitom </w:t>
            </w:r>
            <w:r>
              <w:rPr>
                <w:rFonts w:ascii="Arial" w:hAnsi="Arial" w:cs="Arial"/>
                <w:sz w:val="20"/>
                <w:szCs w:val="20"/>
              </w:rPr>
              <w:t>Úřad</w:t>
            </w:r>
            <w:r w:rsidRPr="009E7444">
              <w:rPr>
                <w:rFonts w:ascii="Arial" w:hAnsi="Arial" w:cs="Arial"/>
                <w:sz w:val="20"/>
                <w:szCs w:val="20"/>
              </w:rPr>
              <w:t xml:space="preserve"> při vyčíslení regulované ceny zohledňuje pouze ty náklady,</w:t>
            </w:r>
            <w:r w:rsidR="009672FB">
              <w:rPr>
                <w:rFonts w:ascii="Arial" w:hAnsi="Arial" w:cs="Arial"/>
                <w:sz w:val="20"/>
                <w:szCs w:val="20"/>
              </w:rPr>
              <w:t xml:space="preserve"> které byly vynaloženy účelně a </w:t>
            </w:r>
            <w:r w:rsidRPr="009E7444">
              <w:rPr>
                <w:rFonts w:ascii="Arial" w:hAnsi="Arial" w:cs="Arial"/>
                <w:sz w:val="20"/>
                <w:szCs w:val="20"/>
              </w:rPr>
              <w:t xml:space="preserve">efektivně. Za účelem cenové regulace na terminačních trzích pak </w:t>
            </w:r>
            <w:r>
              <w:rPr>
                <w:rFonts w:ascii="Arial" w:hAnsi="Arial" w:cs="Arial"/>
                <w:sz w:val="20"/>
                <w:szCs w:val="20"/>
              </w:rPr>
              <w:t>Úřad</w:t>
            </w:r>
            <w:r w:rsidRPr="009E7444">
              <w:rPr>
                <w:rFonts w:ascii="Arial" w:hAnsi="Arial" w:cs="Arial"/>
                <w:sz w:val="20"/>
                <w:szCs w:val="20"/>
              </w:rPr>
              <w:t xml:space="preserve"> jako nejvhodnější metodu pro vyčíslení účelně a efektivně vynaložených nákladů považuje, v souladu s Doporučením, právě metodu „</w:t>
            </w:r>
            <w:proofErr w:type="spellStart"/>
            <w:r w:rsidRPr="009E7444">
              <w:rPr>
                <w:rFonts w:ascii="Arial" w:hAnsi="Arial" w:cs="Arial"/>
                <w:sz w:val="20"/>
                <w:szCs w:val="20"/>
              </w:rPr>
              <w:t>pure</w:t>
            </w:r>
            <w:proofErr w:type="spellEnd"/>
            <w:r w:rsidRPr="009E7444">
              <w:rPr>
                <w:rFonts w:ascii="Arial" w:hAnsi="Arial" w:cs="Arial"/>
                <w:sz w:val="20"/>
                <w:szCs w:val="20"/>
              </w:rPr>
              <w:t xml:space="preserve">“ LRIC. </w:t>
            </w:r>
            <w:r>
              <w:rPr>
                <w:rFonts w:ascii="Arial" w:hAnsi="Arial" w:cs="Arial"/>
                <w:sz w:val="20"/>
                <w:szCs w:val="20"/>
              </w:rPr>
              <w:t>Úřad</w:t>
            </w:r>
            <w:r w:rsidRPr="009E7444">
              <w:rPr>
                <w:rFonts w:ascii="Arial" w:hAnsi="Arial" w:cs="Arial"/>
                <w:sz w:val="20"/>
                <w:szCs w:val="20"/>
              </w:rPr>
              <w:t xml:space="preserve"> opakuje, že do regulované služby zahrnuje všechny náklady, jež teoretickému efektivnímu operátorovi vznikají specificky se slu</w:t>
            </w:r>
            <w:r w:rsidR="009672FB">
              <w:rPr>
                <w:rFonts w:ascii="Arial" w:hAnsi="Arial" w:cs="Arial"/>
                <w:sz w:val="20"/>
                <w:szCs w:val="20"/>
              </w:rPr>
              <w:t>žbou velkoobchodní terminace, a </w:t>
            </w:r>
            <w:r w:rsidRPr="009E7444">
              <w:rPr>
                <w:rFonts w:ascii="Arial" w:hAnsi="Arial" w:cs="Arial"/>
                <w:sz w:val="20"/>
                <w:szCs w:val="20"/>
              </w:rPr>
              <w:t xml:space="preserve">kterým by se tak mohl vyhnout (v dlouhém období) v případě, že by tuto služby neposkytoval. S ohledem na výše uvedené tak </w:t>
            </w:r>
            <w:r>
              <w:rPr>
                <w:rFonts w:ascii="Arial" w:hAnsi="Arial" w:cs="Arial"/>
                <w:sz w:val="20"/>
                <w:szCs w:val="20"/>
              </w:rPr>
              <w:t>Úřad</w:t>
            </w:r>
            <w:r w:rsidRPr="009E7444">
              <w:rPr>
                <w:rFonts w:ascii="Arial" w:hAnsi="Arial" w:cs="Arial"/>
                <w:sz w:val="20"/>
                <w:szCs w:val="20"/>
              </w:rPr>
              <w:t xml:space="preserve"> považuje </w:t>
            </w:r>
            <w:r w:rsidRPr="009E7444">
              <w:rPr>
                <w:rFonts w:ascii="Arial" w:hAnsi="Arial" w:cs="Arial"/>
                <w:sz w:val="20"/>
                <w:szCs w:val="20"/>
              </w:rPr>
              <w:lastRenderedPageBreak/>
              <w:t>uplatňo</w:t>
            </w:r>
            <w:r w:rsidR="009672FB">
              <w:rPr>
                <w:rFonts w:ascii="Arial" w:hAnsi="Arial" w:cs="Arial"/>
                <w:sz w:val="20"/>
                <w:szCs w:val="20"/>
              </w:rPr>
              <w:t>vanou cenovou regulaci, i </w:t>
            </w:r>
            <w:r w:rsidRPr="009E7444">
              <w:rPr>
                <w:rFonts w:ascii="Arial" w:hAnsi="Arial" w:cs="Arial"/>
                <w:sz w:val="20"/>
                <w:szCs w:val="20"/>
              </w:rPr>
              <w:t>metodu využitou pro stanovení regulované ceny, za přiměřenou povaze zjištěného soutěžního problému.</w:t>
            </w:r>
          </w:p>
        </w:tc>
      </w:tr>
      <w:tr w:rsidR="00BC2A4D" w:rsidRPr="00EC6451" w:rsidTr="005374B2">
        <w:tc>
          <w:tcPr>
            <w:tcW w:w="0" w:type="auto"/>
          </w:tcPr>
          <w:p w:rsidR="005374B2" w:rsidRPr="00A77DB0" w:rsidRDefault="005374B2" w:rsidP="002D7B79">
            <w:pPr>
              <w:spacing w:after="60"/>
              <w:rPr>
                <w:rFonts w:ascii="Arial" w:hAnsi="Arial" w:cs="Arial"/>
                <w:sz w:val="20"/>
                <w:szCs w:val="20"/>
              </w:rPr>
            </w:pPr>
            <w:r w:rsidRPr="00A77DB0">
              <w:rPr>
                <w:rFonts w:ascii="Arial" w:hAnsi="Arial" w:cs="Arial"/>
                <w:sz w:val="20"/>
                <w:szCs w:val="20"/>
              </w:rPr>
              <w:lastRenderedPageBreak/>
              <w:t>Obecná poznámka</w:t>
            </w:r>
            <w:r w:rsidR="00A77DB0" w:rsidRPr="00A77DB0">
              <w:rPr>
                <w:rFonts w:ascii="Arial" w:hAnsi="Arial" w:cs="Arial"/>
                <w:sz w:val="20"/>
                <w:szCs w:val="20"/>
              </w:rPr>
              <w:t>,</w:t>
            </w:r>
          </w:p>
          <w:p w:rsidR="00A77DB0" w:rsidRPr="002F378B" w:rsidRDefault="00A77DB0" w:rsidP="002D7B79">
            <w:pPr>
              <w:spacing w:after="60"/>
              <w:rPr>
                <w:rFonts w:ascii="Arial" w:hAnsi="Arial" w:cs="Arial"/>
                <w:sz w:val="20"/>
                <w:szCs w:val="20"/>
                <w:highlight w:val="yellow"/>
              </w:rPr>
            </w:pPr>
            <w:r w:rsidRPr="00A77DB0">
              <w:rPr>
                <w:rFonts w:ascii="Arial" w:hAnsi="Arial" w:cs="Arial"/>
                <w:sz w:val="20"/>
                <w:szCs w:val="20"/>
              </w:rPr>
              <w:t>Řádky 92 - 100</w:t>
            </w:r>
          </w:p>
        </w:tc>
        <w:tc>
          <w:tcPr>
            <w:tcW w:w="0" w:type="auto"/>
          </w:tcPr>
          <w:p w:rsidR="005374B2" w:rsidRPr="002F378B" w:rsidRDefault="00A77DB0" w:rsidP="00A77DB0">
            <w:pPr>
              <w:spacing w:after="60"/>
              <w:jc w:val="both"/>
              <w:rPr>
                <w:rFonts w:ascii="Arial" w:hAnsi="Arial" w:cs="Arial"/>
                <w:sz w:val="20"/>
                <w:szCs w:val="20"/>
                <w:highlight w:val="yellow"/>
              </w:rPr>
            </w:pPr>
            <w:r w:rsidRPr="00A77DB0">
              <w:rPr>
                <w:rFonts w:ascii="Arial" w:hAnsi="Arial" w:cs="Arial"/>
                <w:sz w:val="20"/>
                <w:szCs w:val="20"/>
              </w:rPr>
              <w:t>Ze samotné definice metody přírůstkových nákladů přitom vyplývá, že v regulované velkoobchodní ceně za terminaci dochází k pokrytí všech přírůstkových (dodatečných) nákladů, vyvolaných poskytováním velkoobchodní služby terminace teoretickým efektivním operátorem. Do výpočtu regulované ceny tak nebyly zahrnuty společné a sdílené náklady, které nejsou přímo přiřaditelné (tj. přímo vyvolané) žádnou konkrétní službou, tedy ani službou velkoobchodní terminace. Jinými slovy by společné a sdílené nák</w:t>
            </w:r>
            <w:r w:rsidR="009672FB">
              <w:rPr>
                <w:rFonts w:ascii="Arial" w:hAnsi="Arial" w:cs="Arial"/>
                <w:sz w:val="20"/>
                <w:szCs w:val="20"/>
              </w:rPr>
              <w:t>lady účastníku řízení vznikly i </w:t>
            </w:r>
            <w:r w:rsidRPr="00A77DB0">
              <w:rPr>
                <w:rFonts w:ascii="Arial" w:hAnsi="Arial" w:cs="Arial"/>
                <w:sz w:val="20"/>
                <w:szCs w:val="20"/>
              </w:rPr>
              <w:t>bez poskytování velkoobchodní služby terminace a musel by je tak zahrnout do cen ostatních služeb obdobně, jako je bude muset do cen těchto služeb zahrnout i při aplikaci metody LRIC pro stanovení velkoobchodní ceny za terminaci.</w:t>
            </w:r>
          </w:p>
        </w:tc>
        <w:tc>
          <w:tcPr>
            <w:tcW w:w="0" w:type="auto"/>
          </w:tcPr>
          <w:p w:rsidR="005374B2" w:rsidRPr="002F378B" w:rsidRDefault="005374B2" w:rsidP="007B43EB">
            <w:pPr>
              <w:spacing w:after="60"/>
              <w:rPr>
                <w:rFonts w:ascii="Arial" w:hAnsi="Arial" w:cs="Arial"/>
                <w:sz w:val="20"/>
                <w:szCs w:val="20"/>
                <w:highlight w:val="yellow"/>
              </w:rPr>
            </w:pPr>
            <w:r w:rsidRPr="00A77DB0">
              <w:rPr>
                <w:rFonts w:ascii="Arial" w:hAnsi="Arial" w:cs="Arial"/>
                <w:sz w:val="20"/>
                <w:szCs w:val="20"/>
              </w:rPr>
              <w:t xml:space="preserve">Telefónica Czech Republic, a.s. </w:t>
            </w:r>
            <w:r w:rsidRPr="00A77DB0">
              <w:rPr>
                <w:rFonts w:ascii="Arial" w:hAnsi="Arial" w:cs="Arial"/>
                <w:bCs/>
                <w:color w:val="000000"/>
                <w:sz w:val="20"/>
                <w:szCs w:val="20"/>
              </w:rPr>
              <w:t>(3)</w:t>
            </w:r>
          </w:p>
        </w:tc>
        <w:tc>
          <w:tcPr>
            <w:tcW w:w="0" w:type="auto"/>
          </w:tcPr>
          <w:p w:rsidR="005374B2" w:rsidRDefault="00A77DB0" w:rsidP="00223C2F">
            <w:pPr>
              <w:autoSpaceDE w:val="0"/>
              <w:autoSpaceDN w:val="0"/>
              <w:adjustRightInd w:val="0"/>
              <w:jc w:val="both"/>
              <w:rPr>
                <w:rFonts w:ascii="Arial" w:hAnsi="Arial" w:cs="Arial"/>
                <w:sz w:val="20"/>
                <w:szCs w:val="20"/>
              </w:rPr>
            </w:pPr>
            <w:r w:rsidRPr="00A77DB0">
              <w:rPr>
                <w:rFonts w:ascii="Arial" w:hAnsi="Arial" w:cs="Arial"/>
                <w:sz w:val="20"/>
                <w:szCs w:val="20"/>
              </w:rPr>
              <w:t xml:space="preserve">Připomínkující subjekt uvedl, že </w:t>
            </w:r>
            <w:r>
              <w:rPr>
                <w:rFonts w:ascii="Arial" w:hAnsi="Arial" w:cs="Arial"/>
                <w:sz w:val="20"/>
                <w:szCs w:val="20"/>
              </w:rPr>
              <w:t>sdílené a společné náklady vznikají při poskytování všech poskytovaných služeb. Nelze tedy objektivně zjistit, resp. stanovit, že právě při poskytování konkrétní služby tyto náklady nevznikají, ani objektivně stanovit, zda nevznikají alespoň některé přírůstkové náklady v oblasti sdílených a společných nákladů.</w:t>
            </w:r>
          </w:p>
          <w:p w:rsidR="00A77DB0" w:rsidRDefault="00A77DB0" w:rsidP="00223C2F">
            <w:pPr>
              <w:autoSpaceDE w:val="0"/>
              <w:autoSpaceDN w:val="0"/>
              <w:adjustRightInd w:val="0"/>
              <w:jc w:val="both"/>
              <w:rPr>
                <w:rFonts w:ascii="Arial" w:hAnsi="Arial" w:cs="Arial"/>
                <w:sz w:val="20"/>
                <w:szCs w:val="20"/>
              </w:rPr>
            </w:pPr>
            <w:r>
              <w:rPr>
                <w:rFonts w:ascii="Arial" w:hAnsi="Arial" w:cs="Arial"/>
                <w:sz w:val="20"/>
                <w:szCs w:val="20"/>
              </w:rPr>
              <w:t>Podle názoru připomínkujícího subjektu je zcela neopodstatněné stanovit, že právě u této služby ne</w:t>
            </w:r>
            <w:r w:rsidR="009672FB">
              <w:rPr>
                <w:rFonts w:ascii="Arial" w:hAnsi="Arial" w:cs="Arial"/>
                <w:sz w:val="20"/>
                <w:szCs w:val="20"/>
              </w:rPr>
              <w:t>vznikají přírůstkové společné a </w:t>
            </w:r>
            <w:r>
              <w:rPr>
                <w:rFonts w:ascii="Arial" w:hAnsi="Arial" w:cs="Arial"/>
                <w:sz w:val="20"/>
                <w:szCs w:val="20"/>
              </w:rPr>
              <w:t>sdílené náklady. Úřad objektivně nezdůvodnil, proč právě u služby terminace není umožněno do nákladů zahrnout společné a sdílené náklady.</w:t>
            </w:r>
          </w:p>
          <w:p w:rsidR="00A77DB0" w:rsidRDefault="00A77DB0" w:rsidP="00223C2F">
            <w:pPr>
              <w:autoSpaceDE w:val="0"/>
              <w:autoSpaceDN w:val="0"/>
              <w:adjustRightInd w:val="0"/>
              <w:jc w:val="both"/>
              <w:rPr>
                <w:rFonts w:ascii="Arial" w:hAnsi="Arial" w:cs="Arial"/>
                <w:sz w:val="20"/>
                <w:szCs w:val="20"/>
              </w:rPr>
            </w:pPr>
            <w:r>
              <w:rPr>
                <w:rFonts w:ascii="Arial" w:hAnsi="Arial" w:cs="Arial"/>
                <w:sz w:val="20"/>
                <w:szCs w:val="20"/>
              </w:rPr>
              <w:t>Je zcela absurdní stanovit, že konkrétní služba, v tomto případě terminace v mobilní síti, „nezavinila“ vznik společných a sdílených nákladů. Mohla by to být teoreticky kterákoli velkoobchodní či maloobchodní služba. Jedná s</w:t>
            </w:r>
            <w:r w:rsidR="009672FB">
              <w:rPr>
                <w:rFonts w:ascii="Arial" w:hAnsi="Arial" w:cs="Arial"/>
                <w:sz w:val="20"/>
                <w:szCs w:val="20"/>
              </w:rPr>
              <w:t>e pouze o </w:t>
            </w:r>
            <w:r>
              <w:rPr>
                <w:rFonts w:ascii="Arial" w:hAnsi="Arial" w:cs="Arial"/>
                <w:sz w:val="20"/>
                <w:szCs w:val="20"/>
              </w:rPr>
              <w:t>administrativní určení konkrétní služby bez jakéhokoli věcného opodstatnění.</w:t>
            </w:r>
          </w:p>
          <w:p w:rsidR="00A77DB0" w:rsidRDefault="00A77DB0" w:rsidP="00223C2F">
            <w:pPr>
              <w:autoSpaceDE w:val="0"/>
              <w:autoSpaceDN w:val="0"/>
              <w:adjustRightInd w:val="0"/>
              <w:jc w:val="both"/>
              <w:rPr>
                <w:rFonts w:ascii="Arial" w:hAnsi="Arial" w:cs="Arial"/>
                <w:sz w:val="20"/>
                <w:szCs w:val="20"/>
              </w:rPr>
            </w:pPr>
            <w:r>
              <w:rPr>
                <w:rFonts w:ascii="Arial" w:hAnsi="Arial" w:cs="Arial"/>
                <w:sz w:val="20"/>
                <w:szCs w:val="20"/>
              </w:rPr>
              <w:t xml:space="preserve">Byrokraticky stanovit, že přírůstek společných a sdílených nákladů se netýká určité služby, v tomto případě mobilní terminace, je naprosto neobjektivní. Stejně tak jako </w:t>
            </w:r>
            <w:r w:rsidR="009672FB">
              <w:rPr>
                <w:rFonts w:ascii="Arial" w:hAnsi="Arial" w:cs="Arial"/>
                <w:sz w:val="20"/>
                <w:szCs w:val="20"/>
              </w:rPr>
              <w:t>u </w:t>
            </w:r>
            <w:r>
              <w:rPr>
                <w:rFonts w:ascii="Arial" w:hAnsi="Arial" w:cs="Arial"/>
                <w:sz w:val="20"/>
                <w:szCs w:val="20"/>
              </w:rPr>
              <w:t xml:space="preserve">předmětné služby by Úřad mohl tuto </w:t>
            </w:r>
            <w:r>
              <w:rPr>
                <w:rFonts w:ascii="Arial" w:hAnsi="Arial" w:cs="Arial"/>
                <w:sz w:val="20"/>
                <w:szCs w:val="20"/>
              </w:rPr>
              <w:lastRenderedPageBreak/>
              <w:t xml:space="preserve">metodiku aplikovat i na jiné služby (což se již stalo u služby fixní terminace), popř. na všechny velkoobchodní služby nebo dokonce na všechny poskytované služby elektronických komunikací (tedy i maloobchodní služby. V těchto případech by nebylo možné tyto náklady zahrnovat do nákladů a na jakoukoliv službu přesto, že tyto </w:t>
            </w:r>
            <w:r w:rsidR="009672FB">
              <w:rPr>
                <w:rFonts w:ascii="Arial" w:hAnsi="Arial" w:cs="Arial"/>
                <w:sz w:val="20"/>
                <w:szCs w:val="20"/>
              </w:rPr>
              <w:t>náklady jsou zcela objektivní a </w:t>
            </w:r>
            <w:r>
              <w:rPr>
                <w:rFonts w:ascii="Arial" w:hAnsi="Arial" w:cs="Arial"/>
                <w:sz w:val="20"/>
                <w:szCs w:val="20"/>
              </w:rPr>
              <w:t>nezbytné pro realizaci jakékoli služby.</w:t>
            </w:r>
          </w:p>
          <w:p w:rsidR="00A77DB0" w:rsidRPr="00A77DB0" w:rsidRDefault="00A77DB0" w:rsidP="00223C2F">
            <w:pPr>
              <w:autoSpaceDE w:val="0"/>
              <w:autoSpaceDN w:val="0"/>
              <w:adjustRightInd w:val="0"/>
              <w:jc w:val="both"/>
              <w:rPr>
                <w:rFonts w:ascii="Arial" w:hAnsi="Arial" w:cs="Arial"/>
                <w:sz w:val="20"/>
                <w:szCs w:val="20"/>
              </w:rPr>
            </w:pPr>
            <w:r>
              <w:rPr>
                <w:rFonts w:ascii="Arial" w:hAnsi="Arial" w:cs="Arial"/>
                <w:sz w:val="20"/>
                <w:szCs w:val="20"/>
              </w:rPr>
              <w:t>V Doporučení je sice uvedeno, aby náklady nezahrnuté do služby terminace byly zahrnuty do jiných velkoobchodních či maloobchodních služeb, ale nikde jednoznačně Úřad nezhodnotil dopady vyplývající z tohoto principu, který ve svém důsledku vede k nedůvodné realokaci nákladů do cen jiných telekomunikačních služeb.</w:t>
            </w:r>
          </w:p>
        </w:tc>
        <w:tc>
          <w:tcPr>
            <w:tcW w:w="0" w:type="auto"/>
          </w:tcPr>
          <w:p w:rsidR="005109E8" w:rsidRDefault="005109E8" w:rsidP="005109E8">
            <w:pPr>
              <w:spacing w:after="60"/>
              <w:jc w:val="both"/>
              <w:rPr>
                <w:rFonts w:ascii="Arial" w:hAnsi="Arial" w:cs="Arial"/>
                <w:sz w:val="20"/>
                <w:szCs w:val="20"/>
              </w:rPr>
            </w:pPr>
            <w:r>
              <w:rPr>
                <w:rFonts w:ascii="Arial" w:hAnsi="Arial" w:cs="Arial"/>
                <w:sz w:val="20"/>
                <w:szCs w:val="20"/>
              </w:rPr>
              <w:lastRenderedPageBreak/>
              <w:t>Neakceptováno</w:t>
            </w:r>
          </w:p>
          <w:p w:rsidR="005374B2" w:rsidRDefault="005109E8" w:rsidP="005109E8">
            <w:pPr>
              <w:spacing w:after="60"/>
              <w:jc w:val="both"/>
              <w:rPr>
                <w:rFonts w:ascii="Arial" w:hAnsi="Arial"/>
                <w:sz w:val="20"/>
                <w:szCs w:val="20"/>
              </w:rPr>
            </w:pPr>
            <w:r>
              <w:rPr>
                <w:rFonts w:ascii="Arial" w:hAnsi="Arial"/>
                <w:sz w:val="20"/>
                <w:szCs w:val="20"/>
              </w:rPr>
              <w:t>Úřad</w:t>
            </w:r>
            <w:r w:rsidRPr="00C17529">
              <w:rPr>
                <w:rFonts w:ascii="Arial" w:hAnsi="Arial"/>
                <w:sz w:val="20"/>
                <w:szCs w:val="20"/>
              </w:rPr>
              <w:t xml:space="preserve"> </w:t>
            </w:r>
            <w:r>
              <w:rPr>
                <w:rFonts w:ascii="Arial" w:hAnsi="Arial"/>
                <w:sz w:val="20"/>
                <w:szCs w:val="20"/>
              </w:rPr>
              <w:t>se již k obdobným připomínkám připomínkujícího subjektu vyjádřil v rámci návrhu rozhodnutí o ceně a na svých argumentech setrvává.</w:t>
            </w:r>
          </w:p>
          <w:p w:rsidR="00B842AC" w:rsidRPr="000E349D" w:rsidRDefault="00921DE7" w:rsidP="00BC2A4D">
            <w:pPr>
              <w:spacing w:after="60"/>
              <w:jc w:val="both"/>
              <w:rPr>
                <w:rFonts w:ascii="Arial" w:hAnsi="Arial" w:cs="Arial"/>
                <w:sz w:val="20"/>
                <w:szCs w:val="20"/>
              </w:rPr>
            </w:pPr>
            <w:r>
              <w:rPr>
                <w:rFonts w:ascii="Arial" w:hAnsi="Arial" w:cs="Arial"/>
                <w:sz w:val="20"/>
                <w:szCs w:val="20"/>
              </w:rPr>
              <w:t>Na tomto místě pak Úřad dodává, že</w:t>
            </w:r>
            <w:r w:rsidR="00BC2A4D">
              <w:rPr>
                <w:rFonts w:ascii="Arial" w:hAnsi="Arial" w:cs="Arial"/>
                <w:sz w:val="20"/>
                <w:szCs w:val="20"/>
              </w:rPr>
              <w:t xml:space="preserve"> jedním z důvodů pro zvolenou regulaci byl předpoklad, že primárním důvodem podnikatelské činnosti regulovaných operátorů jsou maloobchodní služby poskytované koncovým uživatelům, nikoliv velkoobchodní služba terminace. Ta je v souladu s Doporučením považována za poslední přírůstkovou (inkrementální) službu a v ceně této služby jsou zahrnuty jen </w:t>
            </w:r>
            <w:r w:rsidR="009672FB">
              <w:rPr>
                <w:rFonts w:ascii="Arial" w:hAnsi="Arial" w:cs="Arial"/>
                <w:sz w:val="20"/>
                <w:szCs w:val="20"/>
              </w:rPr>
              <w:t>náklady vyvolané právě a </w:t>
            </w:r>
            <w:r w:rsidR="00BC2A4D">
              <w:rPr>
                <w:rFonts w:ascii="Arial" w:hAnsi="Arial" w:cs="Arial"/>
                <w:sz w:val="20"/>
                <w:szCs w:val="20"/>
              </w:rPr>
              <w:t>jen jejím poskytování</w:t>
            </w:r>
            <w:r w:rsidR="00955F46">
              <w:rPr>
                <w:rFonts w:ascii="Arial" w:hAnsi="Arial" w:cs="Arial"/>
                <w:sz w:val="20"/>
                <w:szCs w:val="20"/>
              </w:rPr>
              <w:t>m</w:t>
            </w:r>
            <w:r w:rsidR="00BC2A4D">
              <w:rPr>
                <w:rFonts w:ascii="Arial" w:hAnsi="Arial" w:cs="Arial"/>
                <w:sz w:val="20"/>
                <w:szCs w:val="20"/>
              </w:rPr>
              <w:t xml:space="preserve">. Podrobnější zdůvodnění viz </w:t>
            </w:r>
            <w:hyperlink r:id="rId9" w:history="1">
              <w:r w:rsidR="00BC2A4D" w:rsidRPr="00BC2A4D">
                <w:rPr>
                  <w:rStyle w:val="Hypertextovodkaz"/>
                  <w:rFonts w:ascii="Arial" w:hAnsi="Arial" w:cs="Arial"/>
                  <w:sz w:val="20"/>
                  <w:szCs w:val="20"/>
                </w:rPr>
                <w:t>Vysvětlující zpráva</w:t>
              </w:r>
            </w:hyperlink>
            <w:r w:rsidR="00BC2A4D">
              <w:rPr>
                <w:rFonts w:ascii="Arial" w:hAnsi="Arial" w:cs="Arial"/>
                <w:sz w:val="20"/>
                <w:szCs w:val="20"/>
              </w:rPr>
              <w:t xml:space="preserve"> Evropské komise k Doporučení a více ke společným a sdíleným nákladům také viz vypořádání připomínky č. 2.</w:t>
            </w:r>
            <w:r>
              <w:rPr>
                <w:rFonts w:ascii="Arial" w:hAnsi="Arial" w:cs="Arial"/>
                <w:sz w:val="20"/>
                <w:szCs w:val="20"/>
              </w:rPr>
              <w:t xml:space="preserve"> </w:t>
            </w: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Konkrétní připomínka</w:t>
            </w:r>
            <w:r w:rsidR="00BC2A4D">
              <w:rPr>
                <w:rFonts w:ascii="Arial" w:hAnsi="Arial" w:cs="Arial"/>
                <w:sz w:val="20"/>
                <w:szCs w:val="20"/>
              </w:rPr>
              <w:t>, řádky 205 - 213</w:t>
            </w:r>
          </w:p>
        </w:tc>
        <w:tc>
          <w:tcPr>
            <w:tcW w:w="0" w:type="auto"/>
          </w:tcPr>
          <w:p w:rsidR="005374B2" w:rsidRPr="00BC2A4D" w:rsidRDefault="00BC2A4D" w:rsidP="00BC2A4D">
            <w:pPr>
              <w:spacing w:after="60"/>
              <w:jc w:val="both"/>
              <w:rPr>
                <w:rFonts w:ascii="Arial" w:hAnsi="Arial" w:cs="Arial"/>
                <w:sz w:val="20"/>
                <w:szCs w:val="20"/>
              </w:rPr>
            </w:pPr>
            <w:r w:rsidRPr="00BC2A4D">
              <w:rPr>
                <w:rFonts w:ascii="Arial" w:hAnsi="Arial" w:cs="Arial"/>
                <w:sz w:val="20"/>
                <w:szCs w:val="20"/>
              </w:rPr>
              <w:t>Správní orgán se rozhodl věcně připomínce účastníka řízení vyhovět a odstavec 3 části I. výroku tohoto rozhodnutí pozměnil takto: „</w:t>
            </w:r>
            <w:r w:rsidRPr="00BC2A4D">
              <w:rPr>
                <w:rFonts w:ascii="Arial" w:hAnsi="Arial" w:cs="Arial"/>
                <w:i/>
                <w:sz w:val="20"/>
                <w:szCs w:val="20"/>
              </w:rPr>
              <w:t>Regulace formou maximálních cen podle odstavce 1 se nevztahuje na volání z telefonních čísel s kódy zemí mimo Evropský hospodářský prostor</w:t>
            </w:r>
            <w:r w:rsidRPr="00BC2A4D">
              <w:rPr>
                <w:rFonts w:ascii="Arial" w:hAnsi="Arial" w:cs="Arial"/>
                <w:sz w:val="20"/>
                <w:szCs w:val="20"/>
              </w:rPr>
              <w:t xml:space="preserve">“. Tato úprava naplňuje původní záměr správního orgánu, kterým byla snaha reagovat na značnou disproporci mezi velkoobchodními terminačními cenami uplatňovanými českými </w:t>
            </w:r>
            <w:r w:rsidR="009672FB">
              <w:rPr>
                <w:rFonts w:ascii="Arial" w:hAnsi="Arial" w:cs="Arial"/>
                <w:sz w:val="20"/>
                <w:szCs w:val="20"/>
              </w:rPr>
              <w:lastRenderedPageBreak/>
              <w:t>operátory na jedné straně a </w:t>
            </w:r>
            <w:r w:rsidRPr="00BC2A4D">
              <w:rPr>
                <w:rFonts w:ascii="Arial" w:hAnsi="Arial" w:cs="Arial"/>
                <w:sz w:val="20"/>
                <w:szCs w:val="20"/>
              </w:rPr>
              <w:t xml:space="preserve">operátory ze zemí mimo EHP na straně druhé. Touto úpravou také správní orgán přistupuje k (de)regulaci volání </w:t>
            </w:r>
            <w:proofErr w:type="spellStart"/>
            <w:r w:rsidRPr="00BC2A4D">
              <w:rPr>
                <w:rFonts w:ascii="Arial" w:hAnsi="Arial" w:cs="Arial"/>
                <w:sz w:val="20"/>
                <w:szCs w:val="20"/>
              </w:rPr>
              <w:t>originovaného</w:t>
            </w:r>
            <w:proofErr w:type="spellEnd"/>
            <w:r w:rsidRPr="00BC2A4D">
              <w:rPr>
                <w:rFonts w:ascii="Arial" w:hAnsi="Arial" w:cs="Arial"/>
                <w:sz w:val="20"/>
                <w:szCs w:val="20"/>
              </w:rPr>
              <w:t xml:space="preserve"> ze států mimo EHP v obdobné logice, jaká byla využita i při regulaci roamingových služeb ze strany orgánů Evropské unie</w:t>
            </w:r>
            <w:r w:rsidRPr="00BC2A4D">
              <w:rPr>
                <w:rStyle w:val="Znakapoznpodarou"/>
                <w:rFonts w:ascii="Arial" w:hAnsi="Arial" w:cs="Arial"/>
                <w:sz w:val="20"/>
                <w:szCs w:val="20"/>
              </w:rPr>
              <w:footnoteReference w:id="3"/>
            </w:r>
          </w:p>
        </w:tc>
        <w:tc>
          <w:tcPr>
            <w:tcW w:w="0" w:type="auto"/>
          </w:tcPr>
          <w:p w:rsidR="005374B2" w:rsidRDefault="005374B2" w:rsidP="002D7B79">
            <w:pPr>
              <w:spacing w:after="60"/>
              <w:rPr>
                <w:rFonts w:ascii="Arial" w:hAnsi="Arial" w:cs="Arial"/>
                <w:sz w:val="20"/>
                <w:szCs w:val="20"/>
              </w:rPr>
            </w:pPr>
            <w:r>
              <w:rPr>
                <w:rFonts w:ascii="Arial" w:hAnsi="Arial" w:cs="Arial"/>
                <w:sz w:val="20"/>
                <w:szCs w:val="20"/>
              </w:rPr>
              <w:lastRenderedPageBreak/>
              <w:t>Telefónica Czech Republic, a.s.</w:t>
            </w:r>
            <w:r w:rsidRPr="00E63BB4">
              <w:rPr>
                <w:rFonts w:ascii="Arial" w:hAnsi="Arial" w:cs="Arial"/>
                <w:sz w:val="20"/>
                <w:szCs w:val="20"/>
              </w:rPr>
              <w:t xml:space="preserve"> </w:t>
            </w:r>
            <w:r>
              <w:rPr>
                <w:rFonts w:ascii="Arial" w:hAnsi="Arial" w:cs="Arial"/>
                <w:bCs/>
                <w:color w:val="000000"/>
                <w:sz w:val="20"/>
                <w:szCs w:val="20"/>
              </w:rPr>
              <w:t>(4</w:t>
            </w:r>
            <w:r w:rsidRPr="00E63BB4">
              <w:rPr>
                <w:rFonts w:ascii="Arial" w:hAnsi="Arial" w:cs="Arial"/>
                <w:bCs/>
                <w:color w:val="000000"/>
                <w:sz w:val="20"/>
                <w:szCs w:val="20"/>
              </w:rPr>
              <w:t>)</w:t>
            </w:r>
          </w:p>
        </w:tc>
        <w:tc>
          <w:tcPr>
            <w:tcW w:w="0" w:type="auto"/>
          </w:tcPr>
          <w:p w:rsidR="005374B2" w:rsidRDefault="00955F46" w:rsidP="00BE577F">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5374B2">
              <w:rPr>
                <w:rFonts w:ascii="Arial" w:hAnsi="Arial" w:cs="Arial"/>
                <w:sz w:val="20"/>
                <w:szCs w:val="20"/>
              </w:rPr>
              <w:t xml:space="preserve"> považuje navržené řešení týkající se omezení platnosti maximální ceny pro země mimo Evropský hospodářský prostor (část I. odst. 3 Rozhodnutí) za metodicky správné a opodstatněné, ale je potřeba jej doplnit o řešení týkající</w:t>
            </w:r>
            <w:r w:rsidR="009672FB">
              <w:rPr>
                <w:rFonts w:ascii="Arial" w:hAnsi="Arial" w:cs="Arial"/>
                <w:sz w:val="20"/>
                <w:szCs w:val="20"/>
              </w:rPr>
              <w:t xml:space="preserve"> se platnosti tohoto principu i </w:t>
            </w:r>
            <w:r w:rsidR="005374B2">
              <w:rPr>
                <w:rFonts w:ascii="Arial" w:hAnsi="Arial" w:cs="Arial"/>
                <w:sz w:val="20"/>
                <w:szCs w:val="20"/>
              </w:rPr>
              <w:t xml:space="preserve">pro případy absence A-čísla nebo chybného A-čísla. </w:t>
            </w:r>
            <w:r>
              <w:rPr>
                <w:rFonts w:ascii="Arial" w:hAnsi="Arial" w:cs="Arial"/>
                <w:sz w:val="20"/>
                <w:szCs w:val="20"/>
              </w:rPr>
              <w:t>Připomínkující subjekt</w:t>
            </w:r>
            <w:r w:rsidR="005374B2">
              <w:rPr>
                <w:rFonts w:ascii="Arial" w:hAnsi="Arial" w:cs="Arial"/>
                <w:sz w:val="20"/>
                <w:szCs w:val="20"/>
              </w:rPr>
              <w:t xml:space="preserve"> proto požaduje úpravu ustanovení části I. odst. 3</w:t>
            </w:r>
            <w:r>
              <w:rPr>
                <w:rFonts w:ascii="Arial" w:hAnsi="Arial" w:cs="Arial"/>
                <w:sz w:val="20"/>
                <w:szCs w:val="20"/>
              </w:rPr>
              <w:t xml:space="preserve"> výroku rozhodnutí</w:t>
            </w:r>
            <w:r w:rsidR="005374B2">
              <w:rPr>
                <w:rFonts w:ascii="Arial" w:hAnsi="Arial" w:cs="Arial"/>
                <w:sz w:val="20"/>
                <w:szCs w:val="20"/>
              </w:rPr>
              <w:t xml:space="preserve"> ve znění </w:t>
            </w:r>
            <w:r w:rsidR="005374B2" w:rsidRPr="004C5D91">
              <w:rPr>
                <w:rFonts w:ascii="Arial" w:hAnsi="Arial" w:cs="Arial"/>
                <w:i/>
                <w:sz w:val="20"/>
                <w:szCs w:val="20"/>
              </w:rPr>
              <w:t xml:space="preserve">„Regulace formou maximálních cen se podle odstavce 1 </w:t>
            </w:r>
            <w:r w:rsidR="005374B2" w:rsidRPr="004C5D91">
              <w:rPr>
                <w:rFonts w:ascii="Arial" w:hAnsi="Arial" w:cs="Arial"/>
                <w:i/>
                <w:sz w:val="20"/>
                <w:szCs w:val="20"/>
              </w:rPr>
              <w:lastRenderedPageBreak/>
              <w:t xml:space="preserve">nevztahuje na volání z telefonních čísel s kódy zemí mimo Evropský hospodářský prostor </w:t>
            </w:r>
            <w:r w:rsidR="005374B2" w:rsidRPr="00955F46">
              <w:rPr>
                <w:rFonts w:ascii="Arial" w:hAnsi="Arial" w:cs="Arial"/>
                <w:b/>
                <w:i/>
                <w:sz w:val="20"/>
                <w:szCs w:val="20"/>
              </w:rPr>
              <w:t>a na volání s chybějícím či neplatným A-číslem</w:t>
            </w:r>
            <w:r w:rsidR="005374B2" w:rsidRPr="004C5D91">
              <w:rPr>
                <w:rFonts w:ascii="Arial" w:hAnsi="Arial" w:cs="Arial"/>
                <w:i/>
                <w:sz w:val="20"/>
                <w:szCs w:val="20"/>
              </w:rPr>
              <w:t>.“</w:t>
            </w:r>
            <w:r w:rsidR="005374B2">
              <w:rPr>
                <w:rFonts w:ascii="Arial" w:hAnsi="Arial" w:cs="Arial"/>
                <w:sz w:val="20"/>
                <w:szCs w:val="20"/>
              </w:rPr>
              <w:t xml:space="preserve"> Tento požadavek vyplývá z konkrétních zkušeností </w:t>
            </w:r>
            <w:r>
              <w:rPr>
                <w:rFonts w:ascii="Arial" w:hAnsi="Arial" w:cs="Arial"/>
                <w:sz w:val="20"/>
                <w:szCs w:val="20"/>
              </w:rPr>
              <w:t>připomínkujícího subjektu</w:t>
            </w:r>
            <w:r w:rsidR="005374B2">
              <w:rPr>
                <w:rFonts w:ascii="Arial" w:hAnsi="Arial" w:cs="Arial"/>
                <w:sz w:val="20"/>
                <w:szCs w:val="20"/>
              </w:rPr>
              <w:t>, kdy někteří operátoři záměrně z důvodu úspory nákladů a ze spekulativních důvodů vymazávají A-čísla (identifikace volajícího účastníka CLI)</w:t>
            </w:r>
            <w:r>
              <w:rPr>
                <w:rFonts w:ascii="Arial" w:hAnsi="Arial" w:cs="Arial"/>
                <w:sz w:val="20"/>
                <w:szCs w:val="20"/>
              </w:rPr>
              <w:t>. Zároveň by docházelo</w:t>
            </w:r>
            <w:r w:rsidR="005374B2">
              <w:rPr>
                <w:rFonts w:ascii="Arial" w:hAnsi="Arial" w:cs="Arial"/>
                <w:sz w:val="20"/>
                <w:szCs w:val="20"/>
              </w:rPr>
              <w:t xml:space="preserve"> k nejasnostem ohledně účtování cen za terminaci bez znalosti A-čísla, tedy i bez znalosti kódu země. Zároveň by takto navržená úprava měla dle </w:t>
            </w:r>
            <w:r>
              <w:rPr>
                <w:rFonts w:ascii="Arial" w:hAnsi="Arial" w:cs="Arial"/>
                <w:sz w:val="20"/>
                <w:szCs w:val="20"/>
              </w:rPr>
              <w:t>připomínkujícího subjektu</w:t>
            </w:r>
            <w:r w:rsidR="005374B2">
              <w:rPr>
                <w:rFonts w:ascii="Arial" w:hAnsi="Arial" w:cs="Arial"/>
                <w:sz w:val="20"/>
                <w:szCs w:val="20"/>
              </w:rPr>
              <w:t xml:space="preserve"> zabezpečit jednoznačnost výkladu a zamezit zbytečným nedorozuměním a případným sporům mezi operátory.</w:t>
            </w:r>
          </w:p>
          <w:p w:rsidR="005374B2" w:rsidRDefault="00955F46" w:rsidP="00955F46">
            <w:pPr>
              <w:autoSpaceDE w:val="0"/>
              <w:autoSpaceDN w:val="0"/>
              <w:adjustRightInd w:val="0"/>
              <w:jc w:val="both"/>
              <w:rPr>
                <w:rFonts w:ascii="Arial" w:hAnsi="Arial" w:cs="Arial"/>
                <w:sz w:val="20"/>
                <w:szCs w:val="20"/>
              </w:rPr>
            </w:pPr>
            <w:r>
              <w:rPr>
                <w:rFonts w:ascii="Arial" w:hAnsi="Arial" w:cs="Arial"/>
                <w:sz w:val="20"/>
                <w:szCs w:val="20"/>
              </w:rPr>
              <w:t>Připomínkující subjekt uvedl, ž</w:t>
            </w:r>
            <w:r w:rsidR="005374B2">
              <w:rPr>
                <w:rFonts w:ascii="Arial" w:hAnsi="Arial" w:cs="Arial"/>
                <w:sz w:val="20"/>
                <w:szCs w:val="20"/>
              </w:rPr>
              <w:t xml:space="preserve">e v současné době jsou mu řadou evropských operátorů oznamovány nové ceny za mobilní i fixní terminaci v jejich sítích, které jsou cenově rozlišovány podle jednotlivých zemí. Ve všech takových případech se uplatňují dvojí ceny, tj. samostatně pro země EHP a samostatně pro země mimo EHP včetně terminace s chybějícím nebo nesprávným A-číslem (CLI). U zemí mimo EHP se jedná plně o ceny sjednávané dohodou obou smluvních stran. Někteří operátoři tudíž nabízejí pro vybrané země mimo EHP stejné ceny jako pro země v rámci EHP, ale děje </w:t>
            </w:r>
            <w:r w:rsidR="005374B2">
              <w:rPr>
                <w:rFonts w:ascii="Arial" w:hAnsi="Arial" w:cs="Arial"/>
                <w:sz w:val="20"/>
                <w:szCs w:val="20"/>
              </w:rPr>
              <w:lastRenderedPageBreak/>
              <w:t>se tak na základě vzájemné komerční dohody (princip reciprocity).</w:t>
            </w:r>
          </w:p>
        </w:tc>
        <w:tc>
          <w:tcPr>
            <w:tcW w:w="0" w:type="auto"/>
          </w:tcPr>
          <w:p w:rsidR="005374B2" w:rsidRDefault="005374B2" w:rsidP="00EB7E16">
            <w:pPr>
              <w:spacing w:after="60"/>
              <w:jc w:val="both"/>
              <w:rPr>
                <w:rFonts w:ascii="Arial" w:hAnsi="Arial" w:cs="Arial"/>
                <w:sz w:val="20"/>
                <w:szCs w:val="20"/>
              </w:rPr>
            </w:pPr>
            <w:r>
              <w:rPr>
                <w:rFonts w:ascii="Arial" w:hAnsi="Arial" w:cs="Arial"/>
                <w:sz w:val="20"/>
                <w:szCs w:val="20"/>
              </w:rPr>
              <w:lastRenderedPageBreak/>
              <w:t>A</w:t>
            </w:r>
            <w:r w:rsidR="00955F46">
              <w:rPr>
                <w:rFonts w:ascii="Arial" w:hAnsi="Arial" w:cs="Arial"/>
                <w:sz w:val="20"/>
                <w:szCs w:val="20"/>
              </w:rPr>
              <w:t>kceptováno</w:t>
            </w:r>
          </w:p>
          <w:p w:rsidR="005374B2" w:rsidRPr="00216272" w:rsidRDefault="00955F46" w:rsidP="00B13928">
            <w:pPr>
              <w:spacing w:after="60"/>
              <w:jc w:val="both"/>
              <w:rPr>
                <w:rFonts w:ascii="Arial" w:hAnsi="Arial" w:cs="Arial"/>
                <w:sz w:val="20"/>
                <w:szCs w:val="20"/>
              </w:rPr>
            </w:pPr>
            <w:r>
              <w:rPr>
                <w:rFonts w:ascii="Arial" w:hAnsi="Arial" w:cs="Arial"/>
                <w:sz w:val="20"/>
                <w:szCs w:val="20"/>
              </w:rPr>
              <w:t>Úřad</w:t>
            </w:r>
            <w:r w:rsidR="005374B2" w:rsidRPr="00216272">
              <w:rPr>
                <w:rFonts w:ascii="Arial" w:hAnsi="Arial" w:cs="Arial"/>
                <w:sz w:val="20"/>
                <w:szCs w:val="20"/>
              </w:rPr>
              <w:t xml:space="preserve"> se rozhodl </w:t>
            </w:r>
            <w:r w:rsidR="005374B2">
              <w:rPr>
                <w:rFonts w:ascii="Arial" w:hAnsi="Arial" w:cs="Arial"/>
                <w:sz w:val="20"/>
                <w:szCs w:val="20"/>
              </w:rPr>
              <w:t>věcné připomínce vyhovět a </w:t>
            </w:r>
            <w:r w:rsidR="005374B2" w:rsidRPr="00216272">
              <w:rPr>
                <w:rFonts w:ascii="Arial" w:hAnsi="Arial" w:cs="Arial"/>
                <w:sz w:val="20"/>
                <w:szCs w:val="20"/>
              </w:rPr>
              <w:t>odstavec 3 části I. výroku</w:t>
            </w:r>
            <w:r w:rsidR="005374B2" w:rsidRPr="00216272">
              <w:rPr>
                <w:rFonts w:ascii="Arial" w:hAnsi="Arial" w:cs="Arial"/>
                <w:sz w:val="20"/>
                <w:szCs w:val="20"/>
                <w:vertAlign w:val="superscript"/>
              </w:rPr>
              <w:footnoteReference w:id="4"/>
            </w:r>
            <w:r w:rsidR="005374B2" w:rsidRPr="00216272">
              <w:rPr>
                <w:rFonts w:ascii="Arial" w:hAnsi="Arial" w:cs="Arial"/>
                <w:sz w:val="20"/>
                <w:szCs w:val="20"/>
              </w:rPr>
              <w:t xml:space="preserve"> rozhodnutí pozměnil </w:t>
            </w:r>
            <w:r w:rsidR="005374B2">
              <w:rPr>
                <w:rFonts w:ascii="Arial" w:hAnsi="Arial" w:cs="Arial"/>
                <w:sz w:val="20"/>
                <w:szCs w:val="20"/>
              </w:rPr>
              <w:t>takto:</w:t>
            </w:r>
            <w:r w:rsidR="005374B2" w:rsidRPr="00216272">
              <w:rPr>
                <w:rFonts w:ascii="Arial" w:hAnsi="Arial" w:cs="Arial"/>
                <w:sz w:val="20"/>
                <w:szCs w:val="20"/>
              </w:rPr>
              <w:t xml:space="preserve"> </w:t>
            </w:r>
            <w:r w:rsidR="005374B2" w:rsidRPr="00E46907">
              <w:rPr>
                <w:rFonts w:ascii="Arial" w:hAnsi="Arial" w:cs="Arial"/>
                <w:sz w:val="20"/>
                <w:szCs w:val="20"/>
              </w:rPr>
              <w:t>„</w:t>
            </w:r>
            <w:r w:rsidR="005374B2" w:rsidRPr="00E46907">
              <w:rPr>
                <w:rFonts w:ascii="Arial" w:hAnsi="Arial" w:cs="Arial"/>
                <w:i/>
                <w:sz w:val="20"/>
                <w:szCs w:val="20"/>
              </w:rPr>
              <w:t>Regulace formou maximá</w:t>
            </w:r>
            <w:r w:rsidR="005374B2">
              <w:rPr>
                <w:rFonts w:ascii="Arial" w:hAnsi="Arial" w:cs="Arial"/>
                <w:i/>
                <w:sz w:val="20"/>
                <w:szCs w:val="20"/>
              </w:rPr>
              <w:t xml:space="preserve">lních </w:t>
            </w:r>
            <w:r w:rsidR="00316BAB">
              <w:rPr>
                <w:rFonts w:ascii="Arial" w:hAnsi="Arial" w:cs="Arial"/>
                <w:i/>
                <w:sz w:val="20"/>
                <w:szCs w:val="20"/>
              </w:rPr>
              <w:t xml:space="preserve">cen </w:t>
            </w:r>
            <w:r w:rsidR="005374B2">
              <w:rPr>
                <w:rFonts w:ascii="Arial" w:hAnsi="Arial" w:cs="Arial"/>
                <w:i/>
                <w:sz w:val="20"/>
                <w:szCs w:val="20"/>
              </w:rPr>
              <w:t xml:space="preserve">podle odstavce 1 se </w:t>
            </w:r>
            <w:r w:rsidR="005374B2" w:rsidRPr="00E46907">
              <w:rPr>
                <w:rFonts w:ascii="Arial" w:hAnsi="Arial" w:cs="Arial"/>
                <w:i/>
                <w:sz w:val="20"/>
                <w:szCs w:val="20"/>
              </w:rPr>
              <w:t>vztahuje na volání z telefonních čísel s kódy zemí Evropsk</w:t>
            </w:r>
            <w:r w:rsidR="005374B2">
              <w:rPr>
                <w:rFonts w:ascii="Arial" w:hAnsi="Arial" w:cs="Arial"/>
                <w:i/>
                <w:sz w:val="20"/>
                <w:szCs w:val="20"/>
              </w:rPr>
              <w:t>ého hospodářského</w:t>
            </w:r>
            <w:r w:rsidR="005374B2" w:rsidRPr="00E46907">
              <w:rPr>
                <w:rFonts w:ascii="Arial" w:hAnsi="Arial" w:cs="Arial"/>
                <w:i/>
                <w:sz w:val="20"/>
                <w:szCs w:val="20"/>
              </w:rPr>
              <w:t xml:space="preserve"> prostor</w:t>
            </w:r>
            <w:r w:rsidR="005374B2">
              <w:rPr>
                <w:rFonts w:ascii="Arial" w:hAnsi="Arial" w:cs="Arial"/>
                <w:i/>
                <w:sz w:val="20"/>
                <w:szCs w:val="20"/>
              </w:rPr>
              <w:t>u</w:t>
            </w:r>
            <w:r w:rsidR="005374B2" w:rsidRPr="00E46907">
              <w:rPr>
                <w:rFonts w:ascii="Arial" w:hAnsi="Arial" w:cs="Arial"/>
                <w:sz w:val="20"/>
                <w:szCs w:val="20"/>
              </w:rPr>
              <w:t>“.</w:t>
            </w:r>
            <w:r w:rsidR="005374B2">
              <w:rPr>
                <w:rFonts w:ascii="Arial" w:hAnsi="Arial" w:cs="Arial"/>
                <w:sz w:val="20"/>
                <w:szCs w:val="20"/>
              </w:rPr>
              <w:t xml:space="preserve"> </w:t>
            </w:r>
            <w:r w:rsidR="005374B2" w:rsidRPr="00216272">
              <w:rPr>
                <w:rFonts w:ascii="Arial" w:hAnsi="Arial" w:cs="Arial"/>
                <w:sz w:val="20"/>
                <w:szCs w:val="20"/>
              </w:rPr>
              <w:t xml:space="preserve">Tato úprava </w:t>
            </w:r>
            <w:r w:rsidR="005374B2">
              <w:rPr>
                <w:rFonts w:ascii="Arial" w:hAnsi="Arial" w:cs="Arial"/>
                <w:sz w:val="20"/>
                <w:szCs w:val="20"/>
              </w:rPr>
              <w:t xml:space="preserve">vyjádřená prostřednictvím pozitivní definice lépe </w:t>
            </w:r>
            <w:r w:rsidR="005374B2" w:rsidRPr="00216272">
              <w:rPr>
                <w:rFonts w:ascii="Arial" w:hAnsi="Arial" w:cs="Arial"/>
                <w:sz w:val="20"/>
                <w:szCs w:val="20"/>
              </w:rPr>
              <w:t xml:space="preserve">naplňuje původní záměr </w:t>
            </w:r>
            <w:r>
              <w:rPr>
                <w:rFonts w:ascii="Arial" w:hAnsi="Arial" w:cs="Arial"/>
                <w:sz w:val="20"/>
                <w:szCs w:val="20"/>
              </w:rPr>
              <w:t>Úřadu</w:t>
            </w:r>
            <w:r w:rsidR="005374B2" w:rsidRPr="00216272">
              <w:rPr>
                <w:rFonts w:ascii="Arial" w:hAnsi="Arial" w:cs="Arial"/>
                <w:sz w:val="20"/>
                <w:szCs w:val="20"/>
              </w:rPr>
              <w:t>, kterým byla snaha reagovat na značnou disproporci mezi velkoobchodními terminačními cenami uplatňovanými česk</w:t>
            </w:r>
            <w:r w:rsidR="005374B2">
              <w:rPr>
                <w:rFonts w:ascii="Arial" w:hAnsi="Arial" w:cs="Arial"/>
                <w:sz w:val="20"/>
                <w:szCs w:val="20"/>
              </w:rPr>
              <w:t xml:space="preserve">ými operátory na </w:t>
            </w:r>
            <w:r w:rsidR="005374B2">
              <w:rPr>
                <w:rFonts w:ascii="Arial" w:hAnsi="Arial" w:cs="Arial"/>
                <w:sz w:val="20"/>
                <w:szCs w:val="20"/>
              </w:rPr>
              <w:lastRenderedPageBreak/>
              <w:t>jedné straně a </w:t>
            </w:r>
            <w:r w:rsidR="005374B2" w:rsidRPr="00216272">
              <w:rPr>
                <w:rFonts w:ascii="Arial" w:hAnsi="Arial" w:cs="Arial"/>
                <w:sz w:val="20"/>
                <w:szCs w:val="20"/>
              </w:rPr>
              <w:t>operátory ze zemí mimo EHP na straně druhé.</w:t>
            </w:r>
          </w:p>
          <w:p w:rsidR="005374B2" w:rsidRPr="000E349D" w:rsidRDefault="005374B2" w:rsidP="00EB7E16">
            <w:pPr>
              <w:spacing w:after="60"/>
              <w:jc w:val="both"/>
              <w:rPr>
                <w:rFonts w:ascii="Arial" w:hAnsi="Arial" w:cs="Arial"/>
                <w:sz w:val="20"/>
                <w:szCs w:val="20"/>
              </w:rPr>
            </w:pP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Obecná poznámka</w:t>
            </w:r>
          </w:p>
        </w:tc>
        <w:tc>
          <w:tcPr>
            <w:tcW w:w="0" w:type="auto"/>
          </w:tcPr>
          <w:p w:rsidR="005374B2" w:rsidRPr="00E63BB4" w:rsidRDefault="005374B2" w:rsidP="002D7B79">
            <w:pPr>
              <w:spacing w:after="60"/>
              <w:rPr>
                <w:rFonts w:ascii="Arial" w:hAnsi="Arial" w:cs="Arial"/>
                <w:sz w:val="20"/>
                <w:szCs w:val="20"/>
              </w:rPr>
            </w:pPr>
          </w:p>
        </w:tc>
        <w:tc>
          <w:tcPr>
            <w:tcW w:w="0" w:type="auto"/>
          </w:tcPr>
          <w:p w:rsidR="005374B2" w:rsidRDefault="005374B2" w:rsidP="000F6867">
            <w:pPr>
              <w:spacing w:after="60"/>
              <w:rPr>
                <w:rFonts w:ascii="Arial" w:hAnsi="Arial" w:cs="Arial"/>
                <w:sz w:val="20"/>
                <w:szCs w:val="20"/>
              </w:rPr>
            </w:pPr>
            <w:r>
              <w:rPr>
                <w:rFonts w:ascii="Arial" w:hAnsi="Arial" w:cs="Arial"/>
                <w:sz w:val="20"/>
                <w:szCs w:val="20"/>
              </w:rPr>
              <w:t>T-Mobile Czech Republic a.s. (5)</w:t>
            </w:r>
          </w:p>
        </w:tc>
        <w:tc>
          <w:tcPr>
            <w:tcW w:w="0" w:type="auto"/>
          </w:tcPr>
          <w:p w:rsidR="005374B2" w:rsidRDefault="00D756A2" w:rsidP="00D756A2">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5374B2" w:rsidRPr="00217B9E">
              <w:rPr>
                <w:rFonts w:ascii="Arial" w:hAnsi="Arial" w:cs="Arial"/>
                <w:sz w:val="20"/>
                <w:szCs w:val="20"/>
              </w:rPr>
              <w:t xml:space="preserve"> </w:t>
            </w:r>
            <w:r>
              <w:rPr>
                <w:rFonts w:ascii="Arial" w:hAnsi="Arial" w:cs="Arial"/>
                <w:sz w:val="20"/>
                <w:szCs w:val="20"/>
              </w:rPr>
              <w:t>nesouhlasí</w:t>
            </w:r>
            <w:r w:rsidR="005374B2" w:rsidRPr="00217B9E">
              <w:rPr>
                <w:rFonts w:ascii="Arial" w:hAnsi="Arial" w:cs="Arial"/>
                <w:sz w:val="20"/>
                <w:szCs w:val="20"/>
              </w:rPr>
              <w:t xml:space="preserve"> s postupem </w:t>
            </w:r>
            <w:r>
              <w:rPr>
                <w:rFonts w:ascii="Arial" w:hAnsi="Arial" w:cs="Arial"/>
                <w:sz w:val="20"/>
                <w:szCs w:val="20"/>
              </w:rPr>
              <w:t>Úřadu</w:t>
            </w:r>
            <w:r w:rsidR="005374B2" w:rsidRPr="00217B9E">
              <w:rPr>
                <w:rFonts w:ascii="Arial" w:hAnsi="Arial" w:cs="Arial"/>
                <w:sz w:val="20"/>
                <w:szCs w:val="20"/>
              </w:rPr>
              <w:t xml:space="preserve">, konkrétně </w:t>
            </w:r>
            <w:r w:rsidR="005374B2">
              <w:rPr>
                <w:rFonts w:ascii="Arial" w:hAnsi="Arial" w:cs="Arial"/>
                <w:sz w:val="20"/>
                <w:szCs w:val="20"/>
              </w:rPr>
              <w:t>s použitou</w:t>
            </w:r>
            <w:r w:rsidR="005374B2" w:rsidRPr="00217B9E">
              <w:rPr>
                <w:rFonts w:ascii="Arial" w:hAnsi="Arial" w:cs="Arial"/>
                <w:sz w:val="20"/>
                <w:szCs w:val="20"/>
              </w:rPr>
              <w:t> metodou „</w:t>
            </w:r>
            <w:proofErr w:type="spellStart"/>
            <w:r w:rsidR="005374B2" w:rsidRPr="00217B9E">
              <w:rPr>
                <w:rFonts w:ascii="Arial" w:hAnsi="Arial" w:cs="Arial"/>
                <w:sz w:val="20"/>
                <w:szCs w:val="20"/>
              </w:rPr>
              <w:t>pure</w:t>
            </w:r>
            <w:proofErr w:type="spellEnd"/>
            <w:r w:rsidR="005374B2" w:rsidRPr="00217B9E">
              <w:rPr>
                <w:rFonts w:ascii="Arial" w:hAnsi="Arial" w:cs="Arial"/>
                <w:sz w:val="20"/>
                <w:szCs w:val="20"/>
              </w:rPr>
              <w:t xml:space="preserve">“ LRIC pro stanovení ceny za terminaci hlasového volání v mobilní telefonní síti, která podle </w:t>
            </w:r>
            <w:r>
              <w:rPr>
                <w:rFonts w:ascii="Arial" w:hAnsi="Arial" w:cs="Arial"/>
                <w:sz w:val="20"/>
                <w:szCs w:val="20"/>
              </w:rPr>
              <w:t>připomínkujícího subjektu</w:t>
            </w:r>
            <w:r w:rsidR="005374B2" w:rsidRPr="00217B9E">
              <w:rPr>
                <w:rFonts w:ascii="Arial" w:hAnsi="Arial" w:cs="Arial"/>
                <w:sz w:val="20"/>
                <w:szCs w:val="20"/>
              </w:rPr>
              <w:t xml:space="preserve"> nezahrnuje všechny ekonomicky oprávněné náklady vynaložené mobilními operátory na poskytnutí služby mobilní terminace. </w:t>
            </w:r>
            <w:r>
              <w:rPr>
                <w:rFonts w:ascii="Arial" w:hAnsi="Arial" w:cs="Arial"/>
                <w:sz w:val="20"/>
                <w:szCs w:val="20"/>
              </w:rPr>
              <w:t>Připomínkující subjekt</w:t>
            </w:r>
            <w:r w:rsidR="005374B2" w:rsidRPr="00217B9E">
              <w:rPr>
                <w:rFonts w:ascii="Arial" w:hAnsi="Arial" w:cs="Arial"/>
                <w:sz w:val="20"/>
                <w:szCs w:val="20"/>
              </w:rPr>
              <w:t xml:space="preserve"> se rovněž domnívá, že použití této metodiky je v rozporu s požadavkem platné právní úpravy na nákladovost regulované ceny mobilní terminace a poukázal na současný soudní přezkum zákonnosti postupu </w:t>
            </w:r>
            <w:r>
              <w:rPr>
                <w:rFonts w:ascii="Arial" w:hAnsi="Arial" w:cs="Arial"/>
                <w:sz w:val="20"/>
                <w:szCs w:val="20"/>
              </w:rPr>
              <w:t>Úřadu</w:t>
            </w:r>
            <w:r w:rsidR="005374B2" w:rsidRPr="00217B9E">
              <w:rPr>
                <w:rFonts w:ascii="Arial" w:hAnsi="Arial" w:cs="Arial"/>
                <w:sz w:val="20"/>
                <w:szCs w:val="20"/>
              </w:rPr>
              <w:t xml:space="preserve"> v této věci.</w:t>
            </w:r>
          </w:p>
        </w:tc>
        <w:tc>
          <w:tcPr>
            <w:tcW w:w="0" w:type="auto"/>
          </w:tcPr>
          <w:p w:rsidR="00DB61F0" w:rsidRDefault="00DB61F0" w:rsidP="00DB61F0">
            <w:pPr>
              <w:spacing w:after="60"/>
              <w:jc w:val="both"/>
              <w:rPr>
                <w:rFonts w:ascii="Arial" w:hAnsi="Arial" w:cs="Arial"/>
                <w:sz w:val="20"/>
                <w:szCs w:val="20"/>
              </w:rPr>
            </w:pPr>
            <w:r>
              <w:rPr>
                <w:rFonts w:ascii="Arial" w:hAnsi="Arial" w:cs="Arial"/>
                <w:sz w:val="20"/>
                <w:szCs w:val="20"/>
              </w:rPr>
              <w:t>Neakceptováno</w:t>
            </w:r>
          </w:p>
          <w:p w:rsidR="005374B2" w:rsidRDefault="00DB61F0" w:rsidP="00DB61F0">
            <w:pPr>
              <w:spacing w:after="60"/>
              <w:jc w:val="both"/>
              <w:rPr>
                <w:rFonts w:ascii="Arial" w:hAnsi="Arial" w:cs="Arial"/>
                <w:sz w:val="20"/>
                <w:szCs w:val="20"/>
              </w:rPr>
            </w:pPr>
            <w:r>
              <w:rPr>
                <w:rFonts w:ascii="Arial" w:hAnsi="Arial"/>
                <w:sz w:val="20"/>
                <w:szCs w:val="20"/>
              </w:rPr>
              <w:t>Úřad</w:t>
            </w:r>
            <w:r w:rsidRPr="00C17529">
              <w:rPr>
                <w:rFonts w:ascii="Arial" w:hAnsi="Arial"/>
                <w:sz w:val="20"/>
                <w:szCs w:val="20"/>
              </w:rPr>
              <w:t xml:space="preserve"> </w:t>
            </w:r>
            <w:r>
              <w:rPr>
                <w:rFonts w:ascii="Arial" w:hAnsi="Arial"/>
                <w:sz w:val="20"/>
                <w:szCs w:val="20"/>
              </w:rPr>
              <w:t>se již k obdobným připomínkám připomínkujícího subjektu vyjádřil v rámci návrhu rozhodnutí o ceně a na svých argumentech setrvává.</w:t>
            </w:r>
          </w:p>
          <w:p w:rsidR="005374B2" w:rsidRDefault="00DB61F0" w:rsidP="00A8427A">
            <w:pPr>
              <w:spacing w:after="60"/>
              <w:jc w:val="both"/>
              <w:rPr>
                <w:rFonts w:ascii="Arial" w:hAnsi="Arial" w:cs="Arial"/>
                <w:sz w:val="20"/>
                <w:szCs w:val="20"/>
              </w:rPr>
            </w:pPr>
            <w:r>
              <w:rPr>
                <w:rFonts w:ascii="Arial" w:hAnsi="Arial" w:cs="Arial"/>
                <w:sz w:val="20"/>
                <w:szCs w:val="20"/>
              </w:rPr>
              <w:t>Na tomto místě pak Úřad znovu uvádí</w:t>
            </w:r>
            <w:r w:rsidR="005374B2" w:rsidRPr="00A8427A">
              <w:rPr>
                <w:rFonts w:ascii="Arial" w:hAnsi="Arial" w:cs="Arial"/>
                <w:sz w:val="20"/>
                <w:szCs w:val="20"/>
              </w:rPr>
              <w:t>, že</w:t>
            </w:r>
            <w:r>
              <w:rPr>
                <w:rFonts w:ascii="Arial" w:hAnsi="Arial" w:cs="Arial"/>
                <w:sz w:val="20"/>
                <w:szCs w:val="20"/>
              </w:rPr>
              <w:t xml:space="preserve"> je přesvědčen, že</w:t>
            </w:r>
            <w:r w:rsidR="005374B2" w:rsidRPr="00A8427A">
              <w:rPr>
                <w:rFonts w:ascii="Arial" w:hAnsi="Arial" w:cs="Arial"/>
                <w:sz w:val="20"/>
                <w:szCs w:val="20"/>
              </w:rPr>
              <w:t xml:space="preserve"> postupuje v souladu se všemi povinn</w:t>
            </w:r>
            <w:r>
              <w:rPr>
                <w:rFonts w:ascii="Arial" w:hAnsi="Arial" w:cs="Arial"/>
                <w:sz w:val="20"/>
                <w:szCs w:val="20"/>
              </w:rPr>
              <w:t>ostmi, kladenými na něj zákonem.</w:t>
            </w:r>
          </w:p>
          <w:p w:rsidR="005374B2" w:rsidRPr="00A8427A" w:rsidRDefault="005374B2" w:rsidP="00A8427A">
            <w:pPr>
              <w:spacing w:after="60"/>
              <w:jc w:val="both"/>
              <w:rPr>
                <w:rFonts w:ascii="Arial" w:hAnsi="Arial" w:cs="Arial"/>
                <w:sz w:val="20"/>
                <w:szCs w:val="20"/>
              </w:rPr>
            </w:pPr>
            <w:r>
              <w:rPr>
                <w:rFonts w:ascii="Arial" w:hAnsi="Arial" w:cs="Arial"/>
                <w:sz w:val="20"/>
                <w:szCs w:val="20"/>
              </w:rPr>
              <w:t>S odkazem na své předešlé vyjádření</w:t>
            </w:r>
            <w:r w:rsidR="009672FB">
              <w:rPr>
                <w:rFonts w:ascii="Arial" w:hAnsi="Arial" w:cs="Arial"/>
                <w:sz w:val="20"/>
                <w:szCs w:val="20"/>
              </w:rPr>
              <w:t xml:space="preserve"> k </w:t>
            </w:r>
            <w:r w:rsidRPr="00A8427A">
              <w:rPr>
                <w:rFonts w:ascii="Arial" w:hAnsi="Arial" w:cs="Arial"/>
                <w:sz w:val="20"/>
                <w:szCs w:val="20"/>
              </w:rPr>
              <w:t xml:space="preserve">zákonnosti svého postupu </w:t>
            </w:r>
            <w:r w:rsidR="00DB61F0">
              <w:rPr>
                <w:rFonts w:ascii="Arial" w:hAnsi="Arial" w:cs="Arial"/>
                <w:sz w:val="20"/>
                <w:szCs w:val="20"/>
              </w:rPr>
              <w:t>Úřad opakuje</w:t>
            </w:r>
            <w:r w:rsidRPr="00A8427A">
              <w:rPr>
                <w:rFonts w:ascii="Arial" w:hAnsi="Arial" w:cs="Arial"/>
                <w:sz w:val="20"/>
                <w:szCs w:val="20"/>
              </w:rPr>
              <w:t>, že rozhodnutí o ceně bude vydáno na základě výsledků analýzy relevantního trhu č. 7, provedené v souladu s § 51 Zákona. Zároveň byly naplněny podmínky pro uložení povinností souvisejících s regulací cen podle § 56 a § 57 Zákona. Konkrétně analýza relevantního trhu č. 7 prokázala, že tento trh není efektivně konkurenční zejména tím, že by na něm mohlo docházet k účtování nepřiměřeně vysokých cen v neprospěch koncových uživatelů</w:t>
            </w:r>
            <w:r w:rsidRPr="00A8427A">
              <w:rPr>
                <w:rFonts w:ascii="Arial" w:hAnsi="Arial" w:cs="Arial"/>
                <w:sz w:val="20"/>
                <w:szCs w:val="20"/>
                <w:vertAlign w:val="superscript"/>
              </w:rPr>
              <w:footnoteReference w:id="5"/>
            </w:r>
            <w:r w:rsidRPr="00A8427A">
              <w:rPr>
                <w:rFonts w:ascii="Arial" w:hAnsi="Arial" w:cs="Arial"/>
                <w:sz w:val="20"/>
                <w:szCs w:val="20"/>
              </w:rPr>
              <w:t xml:space="preserve">. Za účelem nápravy zjištěného soutěžního problému přistoupil </w:t>
            </w:r>
            <w:r w:rsidR="00F35D91">
              <w:rPr>
                <w:rFonts w:ascii="Arial" w:hAnsi="Arial" w:cs="Arial"/>
                <w:sz w:val="20"/>
                <w:szCs w:val="20"/>
              </w:rPr>
              <w:t>Úřad</w:t>
            </w:r>
            <w:r w:rsidRPr="00A8427A">
              <w:rPr>
                <w:rFonts w:ascii="Arial" w:hAnsi="Arial" w:cs="Arial"/>
                <w:sz w:val="20"/>
                <w:szCs w:val="20"/>
              </w:rPr>
              <w:t xml:space="preserve"> ke stanovení regulovaných cen, které zohledňují pouze účelně a efektivně vynaložené náklady. Tyto náklady stanovil v souladu s Doporučením metod</w:t>
            </w:r>
            <w:r w:rsidR="00DC1599">
              <w:rPr>
                <w:rFonts w:ascii="Arial" w:hAnsi="Arial" w:cs="Arial"/>
                <w:sz w:val="20"/>
                <w:szCs w:val="20"/>
              </w:rPr>
              <w:t>o</w:t>
            </w:r>
            <w:r w:rsidRPr="00A8427A">
              <w:rPr>
                <w:rFonts w:ascii="Arial" w:hAnsi="Arial" w:cs="Arial"/>
                <w:sz w:val="20"/>
                <w:szCs w:val="20"/>
              </w:rPr>
              <w:t xml:space="preserve">u čistého LRIC, která simuluje náklady teoretického efektivního operátora na plně konkurenčním trhu. Tím dochází k eliminaci rizika, že operátorům budou </w:t>
            </w:r>
            <w:r w:rsidRPr="00A8427A">
              <w:rPr>
                <w:rFonts w:ascii="Arial" w:hAnsi="Arial" w:cs="Arial"/>
                <w:sz w:val="20"/>
                <w:szCs w:val="20"/>
              </w:rPr>
              <w:lastRenderedPageBreak/>
              <w:t>v c</w:t>
            </w:r>
            <w:r w:rsidR="009672FB">
              <w:rPr>
                <w:rFonts w:ascii="Arial" w:hAnsi="Arial" w:cs="Arial"/>
                <w:sz w:val="20"/>
                <w:szCs w:val="20"/>
              </w:rPr>
              <w:t>eně regulované služby hrazeny i </w:t>
            </w:r>
            <w:r w:rsidRPr="00A8427A">
              <w:rPr>
                <w:rFonts w:ascii="Arial" w:hAnsi="Arial" w:cs="Arial"/>
                <w:sz w:val="20"/>
                <w:szCs w:val="20"/>
              </w:rPr>
              <w:t xml:space="preserve">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w:t>
            </w:r>
            <w:r w:rsidR="00F35D91">
              <w:rPr>
                <w:rFonts w:ascii="Arial" w:hAnsi="Arial" w:cs="Arial"/>
                <w:sz w:val="20"/>
                <w:szCs w:val="20"/>
              </w:rPr>
              <w:t>Úřad</w:t>
            </w:r>
            <w:r w:rsidRPr="00A8427A">
              <w:rPr>
                <w:rFonts w:ascii="Arial" w:hAnsi="Arial" w:cs="Arial"/>
                <w:sz w:val="20"/>
                <w:szCs w:val="20"/>
              </w:rPr>
              <w:t xml:space="preserve"> při uplatnění regulace cen vůči podniku s význa</w:t>
            </w:r>
            <w:r w:rsidR="009672FB">
              <w:rPr>
                <w:rFonts w:ascii="Arial" w:hAnsi="Arial" w:cs="Arial"/>
                <w:sz w:val="20"/>
                <w:szCs w:val="20"/>
              </w:rPr>
              <w:t>mnou tržní silou v rozhodnutí o </w:t>
            </w:r>
            <w:r w:rsidRPr="00A8427A">
              <w:rPr>
                <w:rFonts w:ascii="Arial" w:hAnsi="Arial" w:cs="Arial"/>
                <w:sz w:val="20"/>
                <w:szCs w:val="20"/>
              </w:rPr>
              <w:t>ceně zohledňuje investice provedené dotčen</w:t>
            </w:r>
            <w:r w:rsidR="009672FB">
              <w:rPr>
                <w:rFonts w:ascii="Arial" w:hAnsi="Arial" w:cs="Arial"/>
                <w:sz w:val="20"/>
                <w:szCs w:val="20"/>
              </w:rPr>
              <w:t>ým podnikem, příslušná rizika a </w:t>
            </w:r>
            <w:r w:rsidRPr="00A8427A">
              <w:rPr>
                <w:rFonts w:ascii="Arial" w:hAnsi="Arial" w:cs="Arial"/>
                <w:sz w:val="20"/>
                <w:szCs w:val="20"/>
              </w:rPr>
              <w:t>umožňuje mu návratnost investic v přiměřeném časovém období, a to prostřednictvím navýšení účelně a efektiv</w:t>
            </w:r>
            <w:r w:rsidR="009672FB">
              <w:rPr>
                <w:rFonts w:ascii="Arial" w:hAnsi="Arial" w:cs="Arial"/>
                <w:sz w:val="20"/>
                <w:szCs w:val="20"/>
              </w:rPr>
              <w:t>ně vynaložených nákladů o </w:t>
            </w:r>
            <w:r w:rsidRPr="00A8427A">
              <w:rPr>
                <w:rFonts w:ascii="Arial" w:hAnsi="Arial" w:cs="Arial"/>
                <w:sz w:val="20"/>
                <w:szCs w:val="20"/>
              </w:rPr>
              <w:t xml:space="preserve">přiměřený zisk, pro jehož stanovení využívá </w:t>
            </w:r>
            <w:r w:rsidR="00F35D91">
              <w:rPr>
                <w:rFonts w:ascii="Arial" w:hAnsi="Arial" w:cs="Arial"/>
                <w:sz w:val="20"/>
                <w:szCs w:val="20"/>
              </w:rPr>
              <w:t>Úřad</w:t>
            </w:r>
            <w:r w:rsidRPr="00A8427A">
              <w:rPr>
                <w:rFonts w:ascii="Arial" w:hAnsi="Arial" w:cs="Arial"/>
                <w:sz w:val="20"/>
                <w:szCs w:val="20"/>
              </w:rPr>
              <w:t xml:space="preserve"> procento návratnosti vloženého kapitálu před zdaněním WACC ve výši 8,26 %. Tato hodnota je specificky pro celý sektor elektronických komunikací stanovena </w:t>
            </w:r>
            <w:r w:rsidR="00F35D91">
              <w:rPr>
                <w:rFonts w:ascii="Arial" w:hAnsi="Arial" w:cs="Arial"/>
                <w:sz w:val="20"/>
                <w:szCs w:val="20"/>
              </w:rPr>
              <w:t>Úřadem</w:t>
            </w:r>
            <w:r w:rsidRPr="00A8427A">
              <w:rPr>
                <w:rFonts w:ascii="Arial" w:hAnsi="Arial" w:cs="Arial"/>
                <w:sz w:val="20"/>
                <w:szCs w:val="20"/>
              </w:rPr>
              <w:t xml:space="preserve"> v opatření obecné povahy č. </w:t>
            </w:r>
            <w:hyperlink r:id="rId10" w:history="1">
              <w:r w:rsidRPr="00A8427A">
                <w:rPr>
                  <w:rStyle w:val="Hypertextovodkaz"/>
                  <w:rFonts w:ascii="Arial" w:hAnsi="Arial" w:cs="Arial"/>
                  <w:sz w:val="20"/>
                  <w:szCs w:val="20"/>
                </w:rPr>
                <w:t>OOP/4/03.2006-3</w:t>
              </w:r>
            </w:hyperlink>
            <w:r w:rsidRPr="00A8427A">
              <w:rPr>
                <w:rFonts w:ascii="Arial" w:hAnsi="Arial" w:cs="Arial"/>
                <w:sz w:val="20"/>
                <w:szCs w:val="20"/>
              </w:rPr>
              <w:t>, kterým se stanoví metod</w:t>
            </w:r>
            <w:r w:rsidR="009672FB">
              <w:rPr>
                <w:rFonts w:ascii="Arial" w:hAnsi="Arial" w:cs="Arial"/>
                <w:sz w:val="20"/>
                <w:szCs w:val="20"/>
              </w:rPr>
              <w:t>ika účelového členění nákladů a </w:t>
            </w:r>
            <w:r w:rsidRPr="00A8427A">
              <w:rPr>
                <w:rFonts w:ascii="Arial" w:hAnsi="Arial" w:cs="Arial"/>
                <w:sz w:val="20"/>
                <w:szCs w:val="20"/>
              </w:rPr>
              <w:t xml:space="preserve">výnosů a jejich přiřazování a určuje se struktura vykazovaných informací, </w:t>
            </w:r>
            <w:r w:rsidRPr="00A8427A">
              <w:rPr>
                <w:rFonts w:ascii="Arial" w:hAnsi="Arial" w:cs="Arial"/>
                <w:sz w:val="20"/>
                <w:szCs w:val="20"/>
              </w:rPr>
              <w:lastRenderedPageBreak/>
              <w:t xml:space="preserve">ve </w:t>
            </w:r>
            <w:hyperlink r:id="rId11" w:history="1">
              <w:r w:rsidRPr="00A8427A">
                <w:rPr>
                  <w:rStyle w:val="Hypertextovodkaz"/>
                  <w:rFonts w:ascii="Arial" w:hAnsi="Arial" w:cs="Arial"/>
                  <w:sz w:val="20"/>
                  <w:szCs w:val="20"/>
                </w:rPr>
                <w:t>znění pozdějších opatření</w:t>
              </w:r>
            </w:hyperlink>
            <w:r w:rsidRPr="00A8427A">
              <w:rPr>
                <w:rFonts w:ascii="Arial" w:hAnsi="Arial" w:cs="Arial"/>
                <w:sz w:val="20"/>
                <w:szCs w:val="20"/>
              </w:rPr>
              <w:t xml:space="preserve">. </w:t>
            </w:r>
            <w:r w:rsidR="00F35D91">
              <w:rPr>
                <w:rFonts w:ascii="Arial" w:hAnsi="Arial" w:cs="Arial"/>
                <w:sz w:val="20"/>
                <w:szCs w:val="20"/>
              </w:rPr>
              <w:t>Úřad</w:t>
            </w:r>
            <w:r w:rsidRPr="00A8427A">
              <w:rPr>
                <w:rFonts w:ascii="Arial" w:hAnsi="Arial" w:cs="Arial"/>
                <w:sz w:val="20"/>
                <w:szCs w:val="20"/>
              </w:rPr>
              <w:t xml:space="preserve"> tak má za to, že výpočet regulované ceny je v souladu se všemi zákonnými požadavky.</w:t>
            </w:r>
          </w:p>
          <w:p w:rsidR="005374B2" w:rsidRPr="000E349D" w:rsidRDefault="005374B2" w:rsidP="00F35D91">
            <w:pPr>
              <w:spacing w:after="60"/>
              <w:jc w:val="both"/>
              <w:rPr>
                <w:rFonts w:ascii="Arial" w:hAnsi="Arial" w:cs="Arial"/>
                <w:sz w:val="20"/>
                <w:szCs w:val="20"/>
              </w:rPr>
            </w:pPr>
            <w:r w:rsidRPr="00A8427A">
              <w:rPr>
                <w:rFonts w:ascii="Arial" w:hAnsi="Arial" w:cs="Arial"/>
                <w:sz w:val="20"/>
                <w:szCs w:val="20"/>
              </w:rPr>
              <w:t xml:space="preserve">K nezahrnutí všech ekonomicky oprávněných nákladů do výpočtu regulované ceny </w:t>
            </w:r>
            <w:r w:rsidR="00F35D91">
              <w:rPr>
                <w:rFonts w:ascii="Arial" w:hAnsi="Arial" w:cs="Arial"/>
                <w:sz w:val="20"/>
                <w:szCs w:val="20"/>
              </w:rPr>
              <w:t>Úřad</w:t>
            </w:r>
            <w:r w:rsidRPr="00A8427A">
              <w:rPr>
                <w:rFonts w:ascii="Arial" w:hAnsi="Arial" w:cs="Arial"/>
                <w:sz w:val="20"/>
                <w:szCs w:val="20"/>
              </w:rPr>
              <w:t xml:space="preserve"> uvádí, že byť uznává oprávněnou existenci dalších nákladů nezahrnutých do ceny za terminaci (společné a sdílené náklady), tyto náklady by </w:t>
            </w:r>
            <w:r w:rsidR="00F35D91">
              <w:rPr>
                <w:rFonts w:ascii="Arial" w:hAnsi="Arial" w:cs="Arial"/>
                <w:sz w:val="20"/>
                <w:szCs w:val="20"/>
              </w:rPr>
              <w:t>připomínkujícímu subjektu</w:t>
            </w:r>
            <w:r w:rsidRPr="00A8427A">
              <w:rPr>
                <w:rFonts w:ascii="Arial" w:hAnsi="Arial" w:cs="Arial"/>
                <w:sz w:val="20"/>
                <w:szCs w:val="20"/>
              </w:rPr>
              <w:t xml:space="preserve"> vznikly i bez poskytování velkoobchodní služby terminace (která není primární důvodem podnikatelské činnosti </w:t>
            </w:r>
            <w:r w:rsidR="00F35D91">
              <w:rPr>
                <w:rFonts w:ascii="Arial" w:hAnsi="Arial" w:cs="Arial"/>
                <w:sz w:val="20"/>
                <w:szCs w:val="20"/>
              </w:rPr>
              <w:t>připomínkujícího subjektu</w:t>
            </w:r>
            <w:r w:rsidRPr="00A8427A">
              <w:rPr>
                <w:rFonts w:ascii="Arial" w:hAnsi="Arial" w:cs="Arial"/>
                <w:sz w:val="20"/>
                <w:szCs w:val="20"/>
              </w:rPr>
              <w:t>, kterou je naopak poskytování služeb mezi jeho koncovými uživateli) a musel by je tak zahrnout do cen ostatních služeb stejně tak, jako je bude muset do cen těchto služeb (pravděpodobně) zahrnout i při aplikaci metody „</w:t>
            </w:r>
            <w:proofErr w:type="spellStart"/>
            <w:r w:rsidRPr="00A8427A">
              <w:rPr>
                <w:rFonts w:ascii="Arial" w:hAnsi="Arial" w:cs="Arial"/>
                <w:sz w:val="20"/>
                <w:szCs w:val="20"/>
              </w:rPr>
              <w:t>pure</w:t>
            </w:r>
            <w:proofErr w:type="spellEnd"/>
            <w:r w:rsidRPr="00A8427A">
              <w:rPr>
                <w:rFonts w:ascii="Arial" w:hAnsi="Arial" w:cs="Arial"/>
                <w:sz w:val="20"/>
                <w:szCs w:val="20"/>
              </w:rPr>
              <w:t>“ LRIC pro stanovení velkoobchodní ceny za terminaci.</w:t>
            </w: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Konkrétní připomínka</w:t>
            </w:r>
          </w:p>
        </w:tc>
        <w:tc>
          <w:tcPr>
            <w:tcW w:w="0" w:type="auto"/>
          </w:tcPr>
          <w:p w:rsidR="005374B2" w:rsidRPr="00E63BB4" w:rsidRDefault="005374B2" w:rsidP="002D7B79">
            <w:pPr>
              <w:spacing w:after="60"/>
              <w:rPr>
                <w:rFonts w:ascii="Arial" w:hAnsi="Arial" w:cs="Arial"/>
                <w:sz w:val="20"/>
                <w:szCs w:val="20"/>
              </w:rPr>
            </w:pPr>
          </w:p>
        </w:tc>
        <w:tc>
          <w:tcPr>
            <w:tcW w:w="0" w:type="auto"/>
          </w:tcPr>
          <w:p w:rsidR="005374B2" w:rsidRDefault="005374B2" w:rsidP="002D7B79">
            <w:pPr>
              <w:spacing w:after="60"/>
              <w:rPr>
                <w:rFonts w:ascii="Arial" w:hAnsi="Arial" w:cs="Arial"/>
                <w:sz w:val="20"/>
                <w:szCs w:val="20"/>
              </w:rPr>
            </w:pPr>
            <w:r>
              <w:rPr>
                <w:rFonts w:ascii="Arial" w:hAnsi="Arial" w:cs="Arial"/>
                <w:sz w:val="20"/>
                <w:szCs w:val="20"/>
              </w:rPr>
              <w:t>T-Mobile Czech Republic a.s. (6)</w:t>
            </w:r>
          </w:p>
        </w:tc>
        <w:tc>
          <w:tcPr>
            <w:tcW w:w="0" w:type="auto"/>
          </w:tcPr>
          <w:p w:rsidR="005374B2" w:rsidRDefault="00C328AC" w:rsidP="00065572">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5374B2" w:rsidRPr="00E46907">
              <w:rPr>
                <w:rFonts w:ascii="Arial" w:hAnsi="Arial" w:cs="Arial"/>
                <w:sz w:val="20"/>
                <w:szCs w:val="20"/>
              </w:rPr>
              <w:t xml:space="preserve"> navrhl změnu textu v odstavci 3 části I. výroku tohoto rozhodnutí, jehož </w:t>
            </w:r>
            <w:r w:rsidR="005374B2">
              <w:rPr>
                <w:rFonts w:ascii="Arial" w:hAnsi="Arial" w:cs="Arial"/>
                <w:sz w:val="20"/>
                <w:szCs w:val="20"/>
              </w:rPr>
              <w:t xml:space="preserve">dosavadní </w:t>
            </w:r>
            <w:r w:rsidR="005374B2" w:rsidRPr="00E46907">
              <w:rPr>
                <w:rFonts w:ascii="Arial" w:hAnsi="Arial" w:cs="Arial"/>
                <w:sz w:val="20"/>
                <w:szCs w:val="20"/>
              </w:rPr>
              <w:t>formulac</w:t>
            </w:r>
            <w:r w:rsidR="005374B2">
              <w:rPr>
                <w:rFonts w:ascii="Arial" w:hAnsi="Arial" w:cs="Arial"/>
                <w:sz w:val="20"/>
                <w:szCs w:val="20"/>
              </w:rPr>
              <w:t>í</w:t>
            </w:r>
            <w:r w:rsidR="005374B2" w:rsidRPr="00E46907">
              <w:rPr>
                <w:rFonts w:ascii="Arial" w:hAnsi="Arial" w:cs="Arial"/>
                <w:sz w:val="20"/>
                <w:szCs w:val="20"/>
              </w:rPr>
              <w:t xml:space="preserve"> dle </w:t>
            </w:r>
            <w:r>
              <w:rPr>
                <w:rFonts w:ascii="Arial" w:hAnsi="Arial" w:cs="Arial"/>
                <w:sz w:val="20"/>
                <w:szCs w:val="20"/>
              </w:rPr>
              <w:t>připomínkujícího subjektu</w:t>
            </w:r>
            <w:r w:rsidR="005374B2" w:rsidRPr="00E46907">
              <w:rPr>
                <w:rFonts w:ascii="Arial" w:hAnsi="Arial" w:cs="Arial"/>
                <w:sz w:val="20"/>
                <w:szCs w:val="20"/>
              </w:rPr>
              <w:t xml:space="preserve"> </w:t>
            </w:r>
            <w:r w:rsidR="005374B2">
              <w:rPr>
                <w:rFonts w:ascii="Arial" w:hAnsi="Arial" w:cs="Arial"/>
                <w:sz w:val="20"/>
                <w:szCs w:val="20"/>
              </w:rPr>
              <w:t xml:space="preserve">může vzniknout prostor pro spekulativní chování některých operátorů, kteří mohou záměrně vymazávat tzv. A-číslo a vyžadovat po mobilních operátorech České republice nižší (regulovanou) cenu, čemuž by </w:t>
            </w:r>
            <w:r>
              <w:rPr>
                <w:rFonts w:ascii="Arial" w:hAnsi="Arial" w:cs="Arial"/>
                <w:sz w:val="20"/>
                <w:szCs w:val="20"/>
              </w:rPr>
              <w:t>Úřad</w:t>
            </w:r>
            <w:r w:rsidR="005374B2">
              <w:rPr>
                <w:rFonts w:ascii="Arial" w:hAnsi="Arial" w:cs="Arial"/>
                <w:sz w:val="20"/>
                <w:szCs w:val="20"/>
              </w:rPr>
              <w:t xml:space="preserve"> v rámci regulace ex-ante měl předcházet. </w:t>
            </w:r>
            <w:r w:rsidR="005374B2" w:rsidRPr="00E46907">
              <w:rPr>
                <w:rFonts w:ascii="Arial" w:hAnsi="Arial" w:cs="Arial"/>
                <w:sz w:val="20"/>
                <w:szCs w:val="20"/>
              </w:rPr>
              <w:t xml:space="preserve">Z těchto důvodů navrhl </w:t>
            </w:r>
            <w:r>
              <w:rPr>
                <w:rFonts w:ascii="Arial" w:hAnsi="Arial" w:cs="Arial"/>
                <w:sz w:val="20"/>
                <w:szCs w:val="20"/>
              </w:rPr>
              <w:lastRenderedPageBreak/>
              <w:t>připomínkující subjekt</w:t>
            </w:r>
            <w:r w:rsidR="005374B2" w:rsidRPr="00E46907">
              <w:rPr>
                <w:rFonts w:ascii="Arial" w:hAnsi="Arial" w:cs="Arial"/>
                <w:sz w:val="20"/>
                <w:szCs w:val="20"/>
              </w:rPr>
              <w:t xml:space="preserve"> změnit </w:t>
            </w:r>
            <w:r w:rsidR="005374B2">
              <w:rPr>
                <w:rFonts w:ascii="Arial" w:hAnsi="Arial" w:cs="Arial"/>
                <w:sz w:val="20"/>
                <w:szCs w:val="20"/>
              </w:rPr>
              <w:t xml:space="preserve">odstavec 3 </w:t>
            </w:r>
            <w:r w:rsidR="005374B2" w:rsidRPr="00E46907">
              <w:rPr>
                <w:rFonts w:ascii="Arial" w:hAnsi="Arial" w:cs="Arial"/>
                <w:sz w:val="20"/>
                <w:szCs w:val="20"/>
              </w:rPr>
              <w:t>část</w:t>
            </w:r>
            <w:r w:rsidR="005374B2">
              <w:rPr>
                <w:rFonts w:ascii="Arial" w:hAnsi="Arial" w:cs="Arial"/>
                <w:sz w:val="20"/>
                <w:szCs w:val="20"/>
              </w:rPr>
              <w:t>i</w:t>
            </w:r>
            <w:r w:rsidR="005374B2" w:rsidRPr="00E46907">
              <w:rPr>
                <w:rFonts w:ascii="Arial" w:hAnsi="Arial" w:cs="Arial"/>
                <w:sz w:val="20"/>
                <w:szCs w:val="20"/>
              </w:rPr>
              <w:t xml:space="preserve"> I. výroku do následující podoby: „</w:t>
            </w:r>
            <w:r w:rsidR="005374B2" w:rsidRPr="00E46907">
              <w:rPr>
                <w:rFonts w:ascii="Arial" w:hAnsi="Arial" w:cs="Arial"/>
                <w:i/>
                <w:sz w:val="20"/>
                <w:szCs w:val="20"/>
              </w:rPr>
              <w:t>Regulace formou maximá</w:t>
            </w:r>
            <w:r w:rsidR="005374B2">
              <w:rPr>
                <w:rFonts w:ascii="Arial" w:hAnsi="Arial" w:cs="Arial"/>
                <w:i/>
                <w:sz w:val="20"/>
                <w:szCs w:val="20"/>
              </w:rPr>
              <w:t xml:space="preserve">lních podle odstavce 1 se </w:t>
            </w:r>
            <w:r w:rsidR="005374B2" w:rsidRPr="00E46907">
              <w:rPr>
                <w:rFonts w:ascii="Arial" w:hAnsi="Arial" w:cs="Arial"/>
                <w:i/>
                <w:sz w:val="20"/>
                <w:szCs w:val="20"/>
              </w:rPr>
              <w:t xml:space="preserve">vztahuje na volání z telefonních čísel s kódy zemí </w:t>
            </w:r>
            <w:r w:rsidR="005374B2">
              <w:rPr>
                <w:rFonts w:ascii="Arial" w:hAnsi="Arial" w:cs="Arial"/>
                <w:i/>
                <w:sz w:val="20"/>
                <w:szCs w:val="20"/>
              </w:rPr>
              <w:t>v rámci</w:t>
            </w:r>
            <w:r w:rsidR="005374B2" w:rsidRPr="00E46907">
              <w:rPr>
                <w:rFonts w:ascii="Arial" w:hAnsi="Arial" w:cs="Arial"/>
                <w:i/>
                <w:sz w:val="20"/>
                <w:szCs w:val="20"/>
              </w:rPr>
              <w:t xml:space="preserve"> Evropsk</w:t>
            </w:r>
            <w:r w:rsidR="005374B2">
              <w:rPr>
                <w:rFonts w:ascii="Arial" w:hAnsi="Arial" w:cs="Arial"/>
                <w:i/>
                <w:sz w:val="20"/>
                <w:szCs w:val="20"/>
              </w:rPr>
              <w:t>ého hospodářského</w:t>
            </w:r>
            <w:r w:rsidR="005374B2" w:rsidRPr="00E46907">
              <w:rPr>
                <w:rFonts w:ascii="Arial" w:hAnsi="Arial" w:cs="Arial"/>
                <w:i/>
                <w:sz w:val="20"/>
                <w:szCs w:val="20"/>
              </w:rPr>
              <w:t xml:space="preserve"> prostor</w:t>
            </w:r>
            <w:r w:rsidR="005374B2">
              <w:rPr>
                <w:rFonts w:ascii="Arial" w:hAnsi="Arial" w:cs="Arial"/>
                <w:i/>
                <w:sz w:val="20"/>
                <w:szCs w:val="20"/>
              </w:rPr>
              <w:t>u</w:t>
            </w:r>
            <w:r w:rsidR="005374B2" w:rsidRPr="00E46907">
              <w:rPr>
                <w:rFonts w:ascii="Arial" w:hAnsi="Arial" w:cs="Arial"/>
                <w:sz w:val="20"/>
                <w:szCs w:val="20"/>
              </w:rPr>
              <w:t>“.</w:t>
            </w:r>
          </w:p>
          <w:p w:rsidR="005374B2" w:rsidRDefault="00C328AC" w:rsidP="00C328AC">
            <w:pPr>
              <w:autoSpaceDE w:val="0"/>
              <w:autoSpaceDN w:val="0"/>
              <w:adjustRightInd w:val="0"/>
              <w:jc w:val="both"/>
              <w:rPr>
                <w:rFonts w:ascii="Arial" w:hAnsi="Arial" w:cs="Arial"/>
                <w:sz w:val="20"/>
                <w:szCs w:val="20"/>
              </w:rPr>
            </w:pPr>
            <w:r>
              <w:rPr>
                <w:rFonts w:ascii="Arial" w:hAnsi="Arial" w:cs="Arial"/>
                <w:sz w:val="20"/>
                <w:szCs w:val="20"/>
              </w:rPr>
              <w:t>Připomínkující subjekt uvedl</w:t>
            </w:r>
            <w:r w:rsidR="005374B2">
              <w:rPr>
                <w:rFonts w:ascii="Arial" w:hAnsi="Arial" w:cs="Arial"/>
                <w:sz w:val="20"/>
                <w:szCs w:val="20"/>
              </w:rPr>
              <w:t>, že podobný přístup zvolily i regulační orgány v jiných zemích</w:t>
            </w:r>
            <w:r>
              <w:rPr>
                <w:rFonts w:ascii="Arial" w:hAnsi="Arial" w:cs="Arial"/>
                <w:sz w:val="20"/>
                <w:szCs w:val="20"/>
              </w:rPr>
              <w:t xml:space="preserve"> (Francie, Finsko)</w:t>
            </w:r>
            <w:r w:rsidR="005374B2">
              <w:rPr>
                <w:rFonts w:ascii="Arial" w:hAnsi="Arial" w:cs="Arial"/>
                <w:sz w:val="20"/>
                <w:szCs w:val="20"/>
              </w:rPr>
              <w:t xml:space="preserve">, kde je umožněno účtovat volání bez uvedeného A-čísla nebo s chybným A-číslem jako volání ze zemí mimo Evropský hospodářský prostor a jsou tedy účtovány neregulované ceny. Své tvrzení </w:t>
            </w:r>
            <w:r>
              <w:rPr>
                <w:rFonts w:ascii="Arial" w:hAnsi="Arial" w:cs="Arial"/>
                <w:sz w:val="20"/>
                <w:szCs w:val="20"/>
              </w:rPr>
              <w:t>připomínkující subjekt</w:t>
            </w:r>
            <w:r w:rsidR="005374B2">
              <w:rPr>
                <w:rFonts w:ascii="Arial" w:hAnsi="Arial" w:cs="Arial"/>
                <w:sz w:val="20"/>
                <w:szCs w:val="20"/>
              </w:rPr>
              <w:t xml:space="preserve"> doložil v dokumentech tzv. International </w:t>
            </w:r>
            <w:proofErr w:type="spellStart"/>
            <w:r w:rsidR="005374B2">
              <w:rPr>
                <w:rFonts w:ascii="Arial" w:hAnsi="Arial" w:cs="Arial"/>
                <w:sz w:val="20"/>
                <w:szCs w:val="20"/>
              </w:rPr>
              <w:t>Voice</w:t>
            </w:r>
            <w:proofErr w:type="spellEnd"/>
            <w:r w:rsidR="005374B2">
              <w:rPr>
                <w:rFonts w:ascii="Arial" w:hAnsi="Arial" w:cs="Arial"/>
                <w:sz w:val="20"/>
                <w:szCs w:val="20"/>
              </w:rPr>
              <w:t xml:space="preserve"> </w:t>
            </w:r>
            <w:proofErr w:type="spellStart"/>
            <w:r w:rsidR="005374B2">
              <w:rPr>
                <w:rFonts w:ascii="Arial" w:hAnsi="Arial" w:cs="Arial"/>
                <w:sz w:val="20"/>
                <w:szCs w:val="20"/>
              </w:rPr>
              <w:t>Carriers</w:t>
            </w:r>
            <w:proofErr w:type="spellEnd"/>
            <w:r w:rsidR="005374B2">
              <w:rPr>
                <w:rFonts w:ascii="Arial" w:hAnsi="Arial" w:cs="Arial"/>
                <w:sz w:val="20"/>
                <w:szCs w:val="20"/>
              </w:rPr>
              <w:t>, které upozorňují na posle</w:t>
            </w:r>
            <w:r w:rsidR="009672FB">
              <w:rPr>
                <w:rFonts w:ascii="Arial" w:hAnsi="Arial" w:cs="Arial"/>
                <w:sz w:val="20"/>
                <w:szCs w:val="20"/>
              </w:rPr>
              <w:t>dní úpravy ceníků ke smlouvám o </w:t>
            </w:r>
            <w:r w:rsidR="005374B2">
              <w:rPr>
                <w:rFonts w:ascii="Arial" w:hAnsi="Arial" w:cs="Arial"/>
                <w:sz w:val="20"/>
                <w:szCs w:val="20"/>
              </w:rPr>
              <w:t>terminac</w:t>
            </w:r>
            <w:r w:rsidR="009672FB">
              <w:rPr>
                <w:rFonts w:ascii="Arial" w:hAnsi="Arial" w:cs="Arial"/>
                <w:sz w:val="20"/>
                <w:szCs w:val="20"/>
              </w:rPr>
              <w:t>i v jednotlivých zemích, a </w:t>
            </w:r>
            <w:r w:rsidR="005374B2">
              <w:rPr>
                <w:rFonts w:ascii="Arial" w:hAnsi="Arial" w:cs="Arial"/>
                <w:sz w:val="20"/>
                <w:szCs w:val="20"/>
              </w:rPr>
              <w:t xml:space="preserve">které předložil </w:t>
            </w:r>
            <w:r>
              <w:rPr>
                <w:rFonts w:ascii="Arial" w:hAnsi="Arial" w:cs="Arial"/>
                <w:sz w:val="20"/>
                <w:szCs w:val="20"/>
              </w:rPr>
              <w:t>Úřadu</w:t>
            </w:r>
            <w:r w:rsidR="005374B2">
              <w:rPr>
                <w:rFonts w:ascii="Arial" w:hAnsi="Arial" w:cs="Arial"/>
                <w:sz w:val="20"/>
                <w:szCs w:val="20"/>
              </w:rPr>
              <w:t xml:space="preserve"> jako přílohu ke svým připomínkám v rámci veřejné konzultace návrhu rozhodnutí o ceně.</w:t>
            </w:r>
          </w:p>
        </w:tc>
        <w:tc>
          <w:tcPr>
            <w:tcW w:w="0" w:type="auto"/>
          </w:tcPr>
          <w:p w:rsidR="005374B2" w:rsidRDefault="005374B2" w:rsidP="0004101B">
            <w:pPr>
              <w:spacing w:after="60"/>
              <w:jc w:val="both"/>
              <w:rPr>
                <w:rFonts w:ascii="Arial" w:hAnsi="Arial" w:cs="Arial"/>
                <w:sz w:val="20"/>
                <w:szCs w:val="20"/>
              </w:rPr>
            </w:pPr>
            <w:r>
              <w:rPr>
                <w:rFonts w:ascii="Arial" w:hAnsi="Arial" w:cs="Arial"/>
                <w:sz w:val="20"/>
                <w:szCs w:val="20"/>
              </w:rPr>
              <w:lastRenderedPageBreak/>
              <w:t>Akceptováno</w:t>
            </w:r>
          </w:p>
          <w:p w:rsidR="005374B2" w:rsidRPr="00216272" w:rsidRDefault="00C328AC" w:rsidP="00216272">
            <w:pPr>
              <w:spacing w:after="60"/>
              <w:jc w:val="both"/>
              <w:rPr>
                <w:rFonts w:ascii="Arial" w:hAnsi="Arial" w:cs="Arial"/>
                <w:sz w:val="20"/>
                <w:szCs w:val="20"/>
              </w:rPr>
            </w:pPr>
            <w:r>
              <w:rPr>
                <w:rFonts w:ascii="Arial" w:hAnsi="Arial" w:cs="Arial"/>
                <w:sz w:val="20"/>
                <w:szCs w:val="20"/>
              </w:rPr>
              <w:t>Úřad</w:t>
            </w:r>
            <w:r w:rsidR="005374B2" w:rsidRPr="00216272">
              <w:rPr>
                <w:rFonts w:ascii="Arial" w:hAnsi="Arial" w:cs="Arial"/>
                <w:sz w:val="20"/>
                <w:szCs w:val="20"/>
              </w:rPr>
              <w:t xml:space="preserve"> se rozhodl vyhově</w:t>
            </w:r>
            <w:r w:rsidR="005374B2">
              <w:rPr>
                <w:rFonts w:ascii="Arial" w:hAnsi="Arial" w:cs="Arial"/>
                <w:sz w:val="20"/>
                <w:szCs w:val="20"/>
              </w:rPr>
              <w:t>t připomínce a </w:t>
            </w:r>
            <w:r w:rsidR="005374B2" w:rsidRPr="00216272">
              <w:rPr>
                <w:rFonts w:ascii="Arial" w:hAnsi="Arial" w:cs="Arial"/>
                <w:sz w:val="20"/>
                <w:szCs w:val="20"/>
              </w:rPr>
              <w:t>odstavec 3 části I. výroku</w:t>
            </w:r>
            <w:r w:rsidR="005374B2" w:rsidRPr="00216272">
              <w:rPr>
                <w:rFonts w:ascii="Arial" w:hAnsi="Arial" w:cs="Arial"/>
                <w:sz w:val="20"/>
                <w:szCs w:val="20"/>
                <w:vertAlign w:val="superscript"/>
              </w:rPr>
              <w:footnoteReference w:id="6"/>
            </w:r>
            <w:r w:rsidR="005374B2" w:rsidRPr="00216272">
              <w:rPr>
                <w:rFonts w:ascii="Arial" w:hAnsi="Arial" w:cs="Arial"/>
                <w:sz w:val="20"/>
                <w:szCs w:val="20"/>
              </w:rPr>
              <w:t xml:space="preserve"> tohoto rozhodnutí </w:t>
            </w:r>
            <w:r>
              <w:rPr>
                <w:rFonts w:ascii="Arial" w:hAnsi="Arial" w:cs="Arial"/>
                <w:sz w:val="20"/>
                <w:szCs w:val="20"/>
              </w:rPr>
              <w:t xml:space="preserve">věcně </w:t>
            </w:r>
            <w:r w:rsidR="005374B2" w:rsidRPr="00216272">
              <w:rPr>
                <w:rFonts w:ascii="Arial" w:hAnsi="Arial" w:cs="Arial"/>
                <w:sz w:val="20"/>
                <w:szCs w:val="20"/>
              </w:rPr>
              <w:t xml:space="preserve">pozměnil do podoby navrhované </w:t>
            </w:r>
            <w:r>
              <w:rPr>
                <w:rFonts w:ascii="Arial" w:hAnsi="Arial" w:cs="Arial"/>
                <w:sz w:val="20"/>
                <w:szCs w:val="20"/>
              </w:rPr>
              <w:t>připomínkujícím subjektem</w:t>
            </w:r>
            <w:r w:rsidR="005374B2" w:rsidRPr="00216272">
              <w:rPr>
                <w:rFonts w:ascii="Arial" w:hAnsi="Arial" w:cs="Arial"/>
                <w:sz w:val="20"/>
                <w:szCs w:val="20"/>
              </w:rPr>
              <w:t xml:space="preserve">. Tato úprava </w:t>
            </w:r>
            <w:r w:rsidR="005374B2">
              <w:rPr>
                <w:rFonts w:ascii="Arial" w:hAnsi="Arial" w:cs="Arial"/>
                <w:sz w:val="20"/>
                <w:szCs w:val="20"/>
              </w:rPr>
              <w:t xml:space="preserve">vyjádřená prostřednictvím pozitivní definice lépe </w:t>
            </w:r>
            <w:r w:rsidR="005374B2" w:rsidRPr="00216272">
              <w:rPr>
                <w:rFonts w:ascii="Arial" w:hAnsi="Arial" w:cs="Arial"/>
                <w:sz w:val="20"/>
                <w:szCs w:val="20"/>
              </w:rPr>
              <w:t xml:space="preserve">naplňuje původní záměr </w:t>
            </w:r>
            <w:r>
              <w:rPr>
                <w:rFonts w:ascii="Arial" w:hAnsi="Arial" w:cs="Arial"/>
                <w:sz w:val="20"/>
                <w:szCs w:val="20"/>
              </w:rPr>
              <w:t>Úřadu</w:t>
            </w:r>
            <w:r w:rsidR="005374B2" w:rsidRPr="00216272">
              <w:rPr>
                <w:rFonts w:ascii="Arial" w:hAnsi="Arial" w:cs="Arial"/>
                <w:sz w:val="20"/>
                <w:szCs w:val="20"/>
              </w:rPr>
              <w:t>, kterým byla snaha reagovat na značnou disproporci mezi velkoobchodními terminačními cenami uplatňovanými česk</w:t>
            </w:r>
            <w:r w:rsidR="009672FB">
              <w:rPr>
                <w:rFonts w:ascii="Arial" w:hAnsi="Arial" w:cs="Arial"/>
                <w:sz w:val="20"/>
                <w:szCs w:val="20"/>
              </w:rPr>
              <w:t xml:space="preserve">ými operátory na jedné straně </w:t>
            </w:r>
            <w:r w:rsidR="009672FB">
              <w:rPr>
                <w:rFonts w:ascii="Arial" w:hAnsi="Arial" w:cs="Arial"/>
                <w:sz w:val="20"/>
                <w:szCs w:val="20"/>
              </w:rPr>
              <w:lastRenderedPageBreak/>
              <w:t>a </w:t>
            </w:r>
            <w:r w:rsidR="005374B2" w:rsidRPr="00216272">
              <w:rPr>
                <w:rFonts w:ascii="Arial" w:hAnsi="Arial" w:cs="Arial"/>
                <w:sz w:val="20"/>
                <w:szCs w:val="20"/>
              </w:rPr>
              <w:t>operátory ze zemí mimo EHP na straně druhé.</w:t>
            </w:r>
          </w:p>
          <w:p w:rsidR="005374B2" w:rsidRDefault="005374B2" w:rsidP="0004101B">
            <w:pPr>
              <w:spacing w:after="60"/>
              <w:jc w:val="both"/>
              <w:rPr>
                <w:rFonts w:ascii="Arial" w:hAnsi="Arial" w:cs="Arial"/>
                <w:sz w:val="20"/>
                <w:szCs w:val="20"/>
              </w:rPr>
            </w:pPr>
          </w:p>
          <w:p w:rsidR="005374B2" w:rsidRPr="000E349D" w:rsidRDefault="005374B2" w:rsidP="0004101B">
            <w:pPr>
              <w:spacing w:after="60"/>
              <w:jc w:val="both"/>
              <w:rPr>
                <w:rFonts w:ascii="Arial" w:hAnsi="Arial" w:cs="Arial"/>
                <w:sz w:val="20"/>
                <w:szCs w:val="20"/>
              </w:rPr>
            </w:pP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Konkrétní připomínka</w:t>
            </w:r>
          </w:p>
        </w:tc>
        <w:tc>
          <w:tcPr>
            <w:tcW w:w="0" w:type="auto"/>
          </w:tcPr>
          <w:p w:rsidR="005374B2" w:rsidRPr="00E63BB4" w:rsidRDefault="005374B2" w:rsidP="002D7B79">
            <w:pPr>
              <w:spacing w:after="60"/>
              <w:rPr>
                <w:rFonts w:ascii="Arial" w:hAnsi="Arial" w:cs="Arial"/>
                <w:sz w:val="20"/>
                <w:szCs w:val="20"/>
              </w:rPr>
            </w:pPr>
          </w:p>
        </w:tc>
        <w:tc>
          <w:tcPr>
            <w:tcW w:w="0" w:type="auto"/>
          </w:tcPr>
          <w:p w:rsidR="005374B2" w:rsidRDefault="005374B2" w:rsidP="002D7B79">
            <w:pPr>
              <w:spacing w:after="60"/>
              <w:rPr>
                <w:rFonts w:ascii="Arial" w:hAnsi="Arial" w:cs="Arial"/>
                <w:sz w:val="20"/>
                <w:szCs w:val="20"/>
              </w:rPr>
            </w:pPr>
            <w:r>
              <w:rPr>
                <w:rFonts w:ascii="Arial" w:hAnsi="Arial" w:cs="Arial"/>
                <w:sz w:val="20"/>
                <w:szCs w:val="20"/>
              </w:rPr>
              <w:t>Vodafone Czech Republic a.s. (7)</w:t>
            </w:r>
          </w:p>
        </w:tc>
        <w:tc>
          <w:tcPr>
            <w:tcW w:w="0" w:type="auto"/>
          </w:tcPr>
          <w:p w:rsidR="005374B2" w:rsidRPr="00DB637C" w:rsidRDefault="00DB637C" w:rsidP="008D324B">
            <w:pPr>
              <w:autoSpaceDE w:val="0"/>
              <w:autoSpaceDN w:val="0"/>
              <w:adjustRightInd w:val="0"/>
              <w:jc w:val="both"/>
              <w:rPr>
                <w:rFonts w:ascii="Arial" w:hAnsi="Arial" w:cs="Arial"/>
                <w:i/>
                <w:sz w:val="20"/>
                <w:szCs w:val="20"/>
              </w:rPr>
            </w:pPr>
            <w:r>
              <w:rPr>
                <w:rFonts w:ascii="Arial" w:hAnsi="Arial" w:cs="Arial"/>
                <w:sz w:val="20"/>
                <w:szCs w:val="20"/>
              </w:rPr>
              <w:t>Připomínkující subjekt</w:t>
            </w:r>
            <w:r w:rsidR="005374B2" w:rsidRPr="00450934">
              <w:rPr>
                <w:rFonts w:ascii="Arial" w:hAnsi="Arial" w:cs="Arial"/>
                <w:sz w:val="20"/>
                <w:szCs w:val="20"/>
              </w:rPr>
              <w:t xml:space="preserve"> </w:t>
            </w:r>
            <w:r w:rsidR="005374B2">
              <w:rPr>
                <w:rFonts w:ascii="Arial" w:hAnsi="Arial" w:cs="Arial"/>
                <w:sz w:val="20"/>
                <w:szCs w:val="20"/>
              </w:rPr>
              <w:t>uvítal</w:t>
            </w:r>
            <w:r w:rsidR="005374B2" w:rsidRPr="00450934">
              <w:rPr>
                <w:rFonts w:ascii="Arial" w:hAnsi="Arial" w:cs="Arial"/>
                <w:sz w:val="20"/>
                <w:szCs w:val="20"/>
              </w:rPr>
              <w:t xml:space="preserve"> přístup </w:t>
            </w:r>
            <w:r w:rsidR="00316BAB">
              <w:rPr>
                <w:rFonts w:ascii="Arial" w:hAnsi="Arial" w:cs="Arial"/>
                <w:sz w:val="20"/>
                <w:szCs w:val="20"/>
              </w:rPr>
              <w:t>Úřadu</w:t>
            </w:r>
            <w:r w:rsidR="005374B2">
              <w:rPr>
                <w:rFonts w:ascii="Arial" w:hAnsi="Arial" w:cs="Arial"/>
                <w:sz w:val="20"/>
                <w:szCs w:val="20"/>
              </w:rPr>
              <w:t xml:space="preserve">, zakotvený v </w:t>
            </w:r>
            <w:r w:rsidR="005374B2" w:rsidRPr="00450934">
              <w:rPr>
                <w:rFonts w:ascii="Arial" w:hAnsi="Arial" w:cs="Arial"/>
                <w:sz w:val="20"/>
                <w:szCs w:val="20"/>
              </w:rPr>
              <w:t>odst. 3</w:t>
            </w:r>
            <w:r w:rsidR="005374B2">
              <w:rPr>
                <w:rFonts w:ascii="Arial" w:hAnsi="Arial" w:cs="Arial"/>
                <w:sz w:val="20"/>
                <w:szCs w:val="20"/>
              </w:rPr>
              <w:t xml:space="preserve"> výroku I. předmětného návrhu</w:t>
            </w:r>
            <w:r w:rsidR="005374B2" w:rsidRPr="00450934">
              <w:rPr>
                <w:rFonts w:ascii="Arial" w:hAnsi="Arial" w:cs="Arial"/>
                <w:sz w:val="20"/>
                <w:szCs w:val="20"/>
              </w:rPr>
              <w:t>, a pozitivně kvituje akceptaci</w:t>
            </w:r>
            <w:r w:rsidR="005374B2">
              <w:rPr>
                <w:rFonts w:ascii="Arial" w:hAnsi="Arial" w:cs="Arial"/>
                <w:sz w:val="20"/>
                <w:szCs w:val="20"/>
              </w:rPr>
              <w:t xml:space="preserve"> </w:t>
            </w:r>
            <w:r w:rsidR="005374B2" w:rsidRPr="00450934">
              <w:rPr>
                <w:rFonts w:ascii="Arial" w:hAnsi="Arial" w:cs="Arial"/>
                <w:sz w:val="20"/>
                <w:szCs w:val="20"/>
              </w:rPr>
              <w:t>připom</w:t>
            </w:r>
            <w:r w:rsidR="005374B2">
              <w:rPr>
                <w:rFonts w:ascii="Arial" w:hAnsi="Arial" w:cs="Arial"/>
                <w:sz w:val="20"/>
                <w:szCs w:val="20"/>
              </w:rPr>
              <w:t xml:space="preserve">ínek a návrhů, které </w:t>
            </w:r>
            <w:r w:rsidR="005374B2" w:rsidRPr="00450934">
              <w:rPr>
                <w:rFonts w:ascii="Arial" w:hAnsi="Arial" w:cs="Arial"/>
                <w:sz w:val="20"/>
                <w:szCs w:val="20"/>
              </w:rPr>
              <w:t>v rámci konz</w:t>
            </w:r>
            <w:r w:rsidR="005374B2">
              <w:rPr>
                <w:rFonts w:ascii="Arial" w:hAnsi="Arial" w:cs="Arial"/>
                <w:sz w:val="20"/>
                <w:szCs w:val="20"/>
              </w:rPr>
              <w:t xml:space="preserve">ultace návrhu rozhodnutí o ceně předložil. Avšak s odkazem na vypořádání připomínky zaslané dne 5. února 2014 </w:t>
            </w:r>
            <w:r>
              <w:rPr>
                <w:rFonts w:ascii="Arial" w:hAnsi="Arial" w:cs="Arial"/>
                <w:sz w:val="20"/>
                <w:szCs w:val="20"/>
              </w:rPr>
              <w:t>připomínkující subjekt</w:t>
            </w:r>
            <w:r w:rsidR="005374B2">
              <w:rPr>
                <w:rFonts w:ascii="Arial" w:hAnsi="Arial" w:cs="Arial"/>
                <w:sz w:val="20"/>
                <w:szCs w:val="20"/>
              </w:rPr>
              <w:t xml:space="preserve"> navrhuje, aby definice rozsahu regulace byla v návrhu rozhodnutí pozitivní, namísto negativní, tj. aby odst. 3 byl uveden ve znění: </w:t>
            </w:r>
            <w:r w:rsidR="005374B2" w:rsidRPr="00E26CE1">
              <w:rPr>
                <w:rFonts w:ascii="Arial" w:hAnsi="Arial" w:cs="Arial"/>
                <w:i/>
                <w:sz w:val="20"/>
                <w:szCs w:val="20"/>
              </w:rPr>
              <w:t xml:space="preserve">„Regulace formou maximálních </w:t>
            </w:r>
            <w:r w:rsidR="005374B2" w:rsidRPr="00E26CE1">
              <w:rPr>
                <w:rFonts w:ascii="Arial" w:hAnsi="Arial" w:cs="Arial"/>
                <w:i/>
                <w:sz w:val="20"/>
                <w:szCs w:val="20"/>
              </w:rPr>
              <w:lastRenderedPageBreak/>
              <w:t>cen podle odstavce 1 se vztahuje pouze na volání z telefonních čísel s kódy zemí Evropského hospodářského prostoru.“</w:t>
            </w:r>
          </w:p>
          <w:p w:rsidR="005374B2" w:rsidRPr="00E26CE1" w:rsidRDefault="00DB637C">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A34FE8">
              <w:rPr>
                <w:rFonts w:ascii="Arial" w:hAnsi="Arial" w:cs="Arial"/>
                <w:sz w:val="20"/>
                <w:szCs w:val="20"/>
              </w:rPr>
              <w:t xml:space="preserve"> uvedl</w:t>
            </w:r>
            <w:r w:rsidR="005374B2">
              <w:rPr>
                <w:rFonts w:ascii="Arial" w:hAnsi="Arial" w:cs="Arial"/>
                <w:sz w:val="20"/>
                <w:szCs w:val="20"/>
              </w:rPr>
              <w:t xml:space="preserve">, že u volání bez identifikace volajícího čísla je pro terminujícího operátora nemožné prokázat zemi původu tohoto volání. </w:t>
            </w:r>
            <w:r w:rsidR="00A34FE8">
              <w:rPr>
                <w:rFonts w:ascii="Arial" w:hAnsi="Arial" w:cs="Arial"/>
                <w:sz w:val="20"/>
                <w:szCs w:val="20"/>
              </w:rPr>
              <w:t>M</w:t>
            </w:r>
            <w:r w:rsidR="005374B2">
              <w:rPr>
                <w:rFonts w:ascii="Arial" w:hAnsi="Arial" w:cs="Arial"/>
                <w:sz w:val="20"/>
                <w:szCs w:val="20"/>
              </w:rPr>
              <w:t>ezi operátory zemí EU a EHP</w:t>
            </w:r>
            <w:r w:rsidR="00A34FE8">
              <w:rPr>
                <w:rFonts w:ascii="Arial" w:hAnsi="Arial" w:cs="Arial"/>
                <w:sz w:val="20"/>
                <w:szCs w:val="20"/>
              </w:rPr>
              <w:t xml:space="preserve"> je</w:t>
            </w:r>
            <w:r w:rsidR="009672FB">
              <w:rPr>
                <w:rFonts w:ascii="Arial" w:hAnsi="Arial" w:cs="Arial"/>
                <w:sz w:val="20"/>
                <w:szCs w:val="20"/>
              </w:rPr>
              <w:t xml:space="preserve"> dlouhodobě zavedenou a </w:t>
            </w:r>
            <w:r w:rsidR="005374B2">
              <w:rPr>
                <w:rFonts w:ascii="Arial" w:hAnsi="Arial" w:cs="Arial"/>
                <w:sz w:val="20"/>
                <w:szCs w:val="20"/>
              </w:rPr>
              <w:t xml:space="preserve">dodržovanou praxí, že A čísla jsou uváděna korektně, tj. že A číslo nechybí a není pozměněno. Pokud by volání bez A čísla nebylo považováno za volání s původem mimo země EEA, pak vzniká významné riziko obcházení jiné (uvažované vyšší) ceny MTR, čímž kterýkoli z tzv. </w:t>
            </w:r>
            <w:proofErr w:type="spellStart"/>
            <w:r w:rsidR="005374B2">
              <w:rPr>
                <w:rFonts w:ascii="Arial" w:hAnsi="Arial" w:cs="Arial"/>
                <w:sz w:val="20"/>
                <w:szCs w:val="20"/>
              </w:rPr>
              <w:t>carrierů</w:t>
            </w:r>
            <w:proofErr w:type="spellEnd"/>
            <w:r w:rsidR="005374B2">
              <w:rPr>
                <w:rFonts w:ascii="Arial" w:hAnsi="Arial" w:cs="Arial"/>
                <w:sz w:val="20"/>
                <w:szCs w:val="20"/>
              </w:rPr>
              <w:t xml:space="preserve"> na cestě od </w:t>
            </w:r>
            <w:proofErr w:type="spellStart"/>
            <w:r w:rsidR="005374B2">
              <w:rPr>
                <w:rFonts w:ascii="Arial" w:hAnsi="Arial" w:cs="Arial"/>
                <w:sz w:val="20"/>
                <w:szCs w:val="20"/>
              </w:rPr>
              <w:t>originující</w:t>
            </w:r>
            <w:proofErr w:type="spellEnd"/>
            <w:r w:rsidR="005374B2">
              <w:rPr>
                <w:rFonts w:ascii="Arial" w:hAnsi="Arial" w:cs="Arial"/>
                <w:sz w:val="20"/>
                <w:szCs w:val="20"/>
              </w:rPr>
              <w:t xml:space="preserve"> sítě po předání provozu do sítě </w:t>
            </w:r>
            <w:r w:rsidR="00316BAB">
              <w:rPr>
                <w:rFonts w:ascii="Arial" w:hAnsi="Arial" w:cs="Arial"/>
                <w:sz w:val="20"/>
                <w:szCs w:val="20"/>
              </w:rPr>
              <w:t>připomínkujícího subjektu</w:t>
            </w:r>
            <w:r w:rsidR="005374B2">
              <w:rPr>
                <w:rFonts w:ascii="Arial" w:hAnsi="Arial" w:cs="Arial"/>
                <w:sz w:val="20"/>
                <w:szCs w:val="20"/>
              </w:rPr>
              <w:t xml:space="preserve"> má v zásadě velmi jednoduchou a rychlou možnost A číslo pozměnit, resp. zejména A číslo smazat, a to z důvodu snížení nákladů na terminaci. Takovýto zásah do provozních údajů je přitom zcela mimo kontrolu </w:t>
            </w:r>
            <w:r w:rsidR="00A34FE8">
              <w:rPr>
                <w:rFonts w:ascii="Arial" w:hAnsi="Arial" w:cs="Arial"/>
                <w:sz w:val="20"/>
                <w:szCs w:val="20"/>
              </w:rPr>
              <w:t>připomínkujícího subjektu</w:t>
            </w:r>
            <w:r w:rsidR="005374B2">
              <w:rPr>
                <w:rFonts w:ascii="Arial" w:hAnsi="Arial" w:cs="Arial"/>
                <w:sz w:val="20"/>
                <w:szCs w:val="20"/>
              </w:rPr>
              <w:t xml:space="preserve">. </w:t>
            </w:r>
          </w:p>
        </w:tc>
        <w:tc>
          <w:tcPr>
            <w:tcW w:w="0" w:type="auto"/>
          </w:tcPr>
          <w:p w:rsidR="005374B2" w:rsidRPr="008D324B" w:rsidRDefault="005374B2" w:rsidP="008D324B">
            <w:pPr>
              <w:spacing w:after="60"/>
              <w:jc w:val="both"/>
              <w:rPr>
                <w:rFonts w:ascii="Arial" w:hAnsi="Arial" w:cs="Arial"/>
                <w:sz w:val="20"/>
                <w:szCs w:val="20"/>
              </w:rPr>
            </w:pPr>
            <w:r w:rsidRPr="008D324B">
              <w:rPr>
                <w:rFonts w:ascii="Arial" w:hAnsi="Arial" w:cs="Arial"/>
                <w:sz w:val="20"/>
                <w:szCs w:val="20"/>
              </w:rPr>
              <w:lastRenderedPageBreak/>
              <w:t>Akceptováno</w:t>
            </w:r>
          </w:p>
          <w:p w:rsidR="005374B2" w:rsidRPr="000E349D" w:rsidRDefault="00EF54A6" w:rsidP="00EF54A6">
            <w:pPr>
              <w:spacing w:after="60"/>
              <w:jc w:val="both"/>
              <w:rPr>
                <w:rFonts w:ascii="Arial" w:hAnsi="Arial" w:cs="Arial"/>
                <w:sz w:val="20"/>
                <w:szCs w:val="20"/>
              </w:rPr>
            </w:pPr>
            <w:r>
              <w:rPr>
                <w:rFonts w:ascii="Arial" w:hAnsi="Arial" w:cs="Arial"/>
                <w:sz w:val="20"/>
                <w:szCs w:val="20"/>
              </w:rPr>
              <w:t>Úřad</w:t>
            </w:r>
            <w:r w:rsidR="005374B2" w:rsidRPr="003C20E8">
              <w:rPr>
                <w:rFonts w:ascii="Arial" w:hAnsi="Arial" w:cs="Arial"/>
                <w:sz w:val="20"/>
                <w:szCs w:val="20"/>
              </w:rPr>
              <w:t xml:space="preserve"> se rozhodl připomínce vyhovět a odstavec 3 části I. výroku</w:t>
            </w:r>
            <w:r w:rsidR="005374B2" w:rsidRPr="003C20E8">
              <w:rPr>
                <w:rFonts w:ascii="Arial" w:hAnsi="Arial" w:cs="Arial"/>
                <w:sz w:val="20"/>
                <w:szCs w:val="20"/>
                <w:vertAlign w:val="superscript"/>
              </w:rPr>
              <w:footnoteReference w:id="7"/>
            </w:r>
            <w:r w:rsidR="005374B2" w:rsidRPr="003C20E8">
              <w:rPr>
                <w:rFonts w:ascii="Arial" w:hAnsi="Arial" w:cs="Arial"/>
                <w:sz w:val="20"/>
                <w:szCs w:val="20"/>
              </w:rPr>
              <w:t xml:space="preserve"> rozhodnutí pozměnil takto: „</w:t>
            </w:r>
            <w:r w:rsidR="005374B2" w:rsidRPr="003C20E8">
              <w:rPr>
                <w:rFonts w:ascii="Arial" w:hAnsi="Arial" w:cs="Arial"/>
                <w:i/>
                <w:sz w:val="20"/>
                <w:szCs w:val="20"/>
              </w:rPr>
              <w:t>Regulace formou maximálních podle odstavce 1 se vztahuje na volání z telefonních čísel s kódy zemí Evropského hospodářského prostoru</w:t>
            </w:r>
            <w:r w:rsidR="005374B2" w:rsidRPr="003C20E8">
              <w:rPr>
                <w:rFonts w:ascii="Arial" w:hAnsi="Arial" w:cs="Arial"/>
                <w:sz w:val="20"/>
                <w:szCs w:val="20"/>
              </w:rPr>
              <w:t xml:space="preserve">“. Tato úprava vyjádřená prostřednictvím pozitivní definice lépe naplňuje původní záměr </w:t>
            </w:r>
            <w:r>
              <w:rPr>
                <w:rFonts w:ascii="Arial" w:hAnsi="Arial" w:cs="Arial"/>
                <w:sz w:val="20"/>
                <w:szCs w:val="20"/>
              </w:rPr>
              <w:t>Úřadu</w:t>
            </w:r>
            <w:r w:rsidR="005374B2" w:rsidRPr="003C20E8">
              <w:rPr>
                <w:rFonts w:ascii="Arial" w:hAnsi="Arial" w:cs="Arial"/>
                <w:sz w:val="20"/>
                <w:szCs w:val="20"/>
              </w:rPr>
              <w:t xml:space="preserve">, kterým byla snaha reagovat na značnou disproporci mezi velkoobchodními terminačními cenami </w:t>
            </w:r>
            <w:r w:rsidR="005374B2" w:rsidRPr="003C20E8">
              <w:rPr>
                <w:rFonts w:ascii="Arial" w:hAnsi="Arial" w:cs="Arial"/>
                <w:sz w:val="20"/>
                <w:szCs w:val="20"/>
              </w:rPr>
              <w:lastRenderedPageBreak/>
              <w:t>uplatňovanými českými operátory na jedné straně a operátory ze zemí mimo EHP na straně druhé.</w:t>
            </w: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Obecná poznámka</w:t>
            </w:r>
          </w:p>
        </w:tc>
        <w:tc>
          <w:tcPr>
            <w:tcW w:w="0" w:type="auto"/>
          </w:tcPr>
          <w:p w:rsidR="005374B2" w:rsidRPr="00E63BB4" w:rsidRDefault="005374B2" w:rsidP="002D7B79">
            <w:pPr>
              <w:spacing w:after="60"/>
              <w:rPr>
                <w:rFonts w:ascii="Arial" w:hAnsi="Arial" w:cs="Arial"/>
                <w:sz w:val="20"/>
                <w:szCs w:val="20"/>
              </w:rPr>
            </w:pPr>
          </w:p>
        </w:tc>
        <w:tc>
          <w:tcPr>
            <w:tcW w:w="0" w:type="auto"/>
          </w:tcPr>
          <w:p w:rsidR="005374B2" w:rsidRDefault="005374B2" w:rsidP="008D324B">
            <w:pPr>
              <w:spacing w:after="60"/>
              <w:rPr>
                <w:rFonts w:ascii="Arial" w:hAnsi="Arial" w:cs="Arial"/>
                <w:sz w:val="20"/>
                <w:szCs w:val="20"/>
              </w:rPr>
            </w:pPr>
            <w:r>
              <w:rPr>
                <w:rFonts w:ascii="Arial" w:hAnsi="Arial" w:cs="Arial"/>
                <w:sz w:val="20"/>
                <w:szCs w:val="20"/>
              </w:rPr>
              <w:t>Vodafone Czech Republic a.s. (8)</w:t>
            </w:r>
          </w:p>
        </w:tc>
        <w:tc>
          <w:tcPr>
            <w:tcW w:w="0" w:type="auto"/>
          </w:tcPr>
          <w:p w:rsidR="005374B2" w:rsidRPr="008D324B" w:rsidRDefault="004307A0" w:rsidP="00EF54A6">
            <w:pPr>
              <w:autoSpaceDE w:val="0"/>
              <w:autoSpaceDN w:val="0"/>
              <w:adjustRightInd w:val="0"/>
              <w:jc w:val="both"/>
              <w:rPr>
                <w:rFonts w:ascii="Arial" w:hAnsi="Arial" w:cs="Arial"/>
                <w:iCs/>
                <w:sz w:val="20"/>
                <w:szCs w:val="20"/>
              </w:rPr>
            </w:pPr>
            <w:r>
              <w:rPr>
                <w:rFonts w:ascii="Arial" w:hAnsi="Arial" w:cs="Arial"/>
                <w:iCs/>
                <w:sz w:val="20"/>
                <w:szCs w:val="20"/>
              </w:rPr>
              <w:t>Připomínkující subjekt</w:t>
            </w:r>
            <w:r w:rsidR="005374B2">
              <w:rPr>
                <w:rFonts w:ascii="Arial" w:hAnsi="Arial" w:cs="Arial"/>
                <w:iCs/>
                <w:sz w:val="20"/>
                <w:szCs w:val="20"/>
              </w:rPr>
              <w:t xml:space="preserve"> vyjádřil svůj </w:t>
            </w:r>
            <w:r w:rsidR="005374B2">
              <w:rPr>
                <w:rFonts w:ascii="Arial" w:hAnsi="Arial" w:cs="Arial"/>
                <w:sz w:val="20"/>
                <w:szCs w:val="20"/>
              </w:rPr>
              <w:t>nesouhlas s výpočtem ceny za terminaci v mobilní síti prostřednictvím metodiky „</w:t>
            </w:r>
            <w:proofErr w:type="spellStart"/>
            <w:r w:rsidR="005374B2">
              <w:rPr>
                <w:rFonts w:ascii="Arial" w:hAnsi="Arial" w:cs="Arial"/>
                <w:sz w:val="20"/>
                <w:szCs w:val="20"/>
              </w:rPr>
              <w:t>pure</w:t>
            </w:r>
            <w:proofErr w:type="spellEnd"/>
            <w:r w:rsidR="005374B2">
              <w:rPr>
                <w:rFonts w:ascii="Arial" w:hAnsi="Arial" w:cs="Arial"/>
                <w:sz w:val="20"/>
                <w:szCs w:val="20"/>
              </w:rPr>
              <w:t xml:space="preserve">“ LRIC a uvedl, že </w:t>
            </w:r>
            <w:r>
              <w:rPr>
                <w:rFonts w:ascii="Arial" w:hAnsi="Arial" w:cs="Arial"/>
                <w:sz w:val="20"/>
                <w:szCs w:val="20"/>
              </w:rPr>
              <w:t>Úřad</w:t>
            </w:r>
            <w:r w:rsidR="005374B2">
              <w:rPr>
                <w:rFonts w:ascii="Arial" w:hAnsi="Arial" w:cs="Arial"/>
                <w:sz w:val="20"/>
                <w:szCs w:val="20"/>
              </w:rPr>
              <w:t xml:space="preserve"> by při výběru metodiky výpočtu regulované ceny měl zohlednit přiměřenost opatření vůči identifikovanému tržnímu problému a přiměřenost ochrany zájmů regulovaného subjektu, která zahrnuje i princ</w:t>
            </w:r>
            <w:r w:rsidR="009672FB">
              <w:rPr>
                <w:rFonts w:ascii="Arial" w:hAnsi="Arial" w:cs="Arial"/>
                <w:sz w:val="20"/>
                <w:szCs w:val="20"/>
              </w:rPr>
              <w:t>ip minimálního zásahu do práv a </w:t>
            </w:r>
            <w:r w:rsidR="005374B2">
              <w:rPr>
                <w:rFonts w:ascii="Arial" w:hAnsi="Arial" w:cs="Arial"/>
                <w:sz w:val="20"/>
                <w:szCs w:val="20"/>
              </w:rPr>
              <w:t xml:space="preserve">zájmů regulovaného subjektu. </w:t>
            </w:r>
            <w:r>
              <w:rPr>
                <w:rFonts w:ascii="Arial" w:hAnsi="Arial" w:cs="Arial"/>
                <w:sz w:val="20"/>
                <w:szCs w:val="20"/>
              </w:rPr>
              <w:lastRenderedPageBreak/>
              <w:t>Připomínkující subjekt</w:t>
            </w:r>
            <w:r w:rsidR="005374B2">
              <w:rPr>
                <w:rFonts w:ascii="Arial" w:hAnsi="Arial" w:cs="Arial"/>
                <w:sz w:val="20"/>
                <w:szCs w:val="20"/>
              </w:rPr>
              <w:t xml:space="preserve"> vnímá jako velmi nepřiměřené použití nejtěžší formy cenové regulace pouhým odkazem na Doporučení, když předchozí způsoby regulace také nepochybně poskytovaly regulovanou cenu, která byla v souladu s právním řádem. Využití modelu „</w:t>
            </w:r>
            <w:proofErr w:type="spellStart"/>
            <w:r w:rsidR="005374B2">
              <w:rPr>
                <w:rFonts w:ascii="Arial" w:hAnsi="Arial" w:cs="Arial"/>
                <w:sz w:val="20"/>
                <w:szCs w:val="20"/>
              </w:rPr>
              <w:t>pure</w:t>
            </w:r>
            <w:proofErr w:type="spellEnd"/>
            <w:r w:rsidR="005374B2">
              <w:rPr>
                <w:rFonts w:ascii="Arial" w:hAnsi="Arial" w:cs="Arial"/>
                <w:sz w:val="20"/>
                <w:szCs w:val="20"/>
              </w:rPr>
              <w:t xml:space="preserve">“ LRIC vede podle </w:t>
            </w:r>
            <w:r>
              <w:rPr>
                <w:rFonts w:ascii="Arial" w:hAnsi="Arial" w:cs="Arial"/>
                <w:sz w:val="20"/>
                <w:szCs w:val="20"/>
              </w:rPr>
              <w:t>připomínkujícího subjektu</w:t>
            </w:r>
            <w:r w:rsidR="005374B2">
              <w:rPr>
                <w:rFonts w:ascii="Arial" w:hAnsi="Arial" w:cs="Arial"/>
                <w:sz w:val="20"/>
                <w:szCs w:val="20"/>
              </w:rPr>
              <w:t xml:space="preserve"> spíše k přesunu nákladů, tj. </w:t>
            </w:r>
            <w:proofErr w:type="spellStart"/>
            <w:r w:rsidR="005374B2">
              <w:rPr>
                <w:rFonts w:ascii="Arial" w:hAnsi="Arial" w:cs="Arial"/>
                <w:sz w:val="20"/>
                <w:szCs w:val="20"/>
              </w:rPr>
              <w:t>rebalancování</w:t>
            </w:r>
            <w:proofErr w:type="spellEnd"/>
            <w:r w:rsidR="005374B2">
              <w:rPr>
                <w:rFonts w:ascii="Arial" w:hAnsi="Arial" w:cs="Arial"/>
                <w:sz w:val="20"/>
                <w:szCs w:val="20"/>
              </w:rPr>
              <w:t xml:space="preserve"> struktury maloobchodních cen, než ke snížení cenové hladiny pro koncového uživatele, přičemž se </w:t>
            </w:r>
            <w:r>
              <w:rPr>
                <w:rFonts w:ascii="Arial" w:hAnsi="Arial" w:cs="Arial"/>
                <w:sz w:val="20"/>
                <w:szCs w:val="20"/>
              </w:rPr>
              <w:t>připomínkující subjekt</w:t>
            </w:r>
            <w:r w:rsidR="005374B2">
              <w:rPr>
                <w:rFonts w:ascii="Arial" w:hAnsi="Arial" w:cs="Arial"/>
                <w:sz w:val="20"/>
                <w:szCs w:val="20"/>
              </w:rPr>
              <w:t xml:space="preserve"> odkazuje na analýzu trhu mobilní terminace britského regulačního úřadu </w:t>
            </w:r>
            <w:proofErr w:type="spellStart"/>
            <w:r w:rsidR="005374B2">
              <w:rPr>
                <w:rFonts w:ascii="Arial" w:hAnsi="Arial" w:cs="Arial"/>
                <w:sz w:val="20"/>
                <w:szCs w:val="20"/>
              </w:rPr>
              <w:t>Ofcom</w:t>
            </w:r>
            <w:proofErr w:type="spellEnd"/>
            <w:r w:rsidR="005374B2">
              <w:rPr>
                <w:rFonts w:ascii="Arial" w:hAnsi="Arial" w:cs="Arial"/>
                <w:sz w:val="20"/>
                <w:szCs w:val="20"/>
              </w:rPr>
              <w:t xml:space="preserve"> z roku 2011. </w:t>
            </w:r>
            <w:r>
              <w:rPr>
                <w:rFonts w:ascii="Arial" w:hAnsi="Arial" w:cs="Arial"/>
                <w:sz w:val="20"/>
                <w:szCs w:val="20"/>
              </w:rPr>
              <w:t>Připomínkující subjekt</w:t>
            </w:r>
            <w:r w:rsidR="005374B2">
              <w:rPr>
                <w:rFonts w:ascii="Arial" w:hAnsi="Arial" w:cs="Arial"/>
                <w:sz w:val="20"/>
                <w:szCs w:val="20"/>
              </w:rPr>
              <w:t xml:space="preserve"> dále uvedl, že ve vztahu mezi mobilními a pevnými sítěmi Komise EU předpoklá</w:t>
            </w:r>
            <w:r w:rsidR="009672FB">
              <w:rPr>
                <w:rFonts w:ascii="Arial" w:hAnsi="Arial" w:cs="Arial"/>
                <w:sz w:val="20"/>
                <w:szCs w:val="20"/>
              </w:rPr>
              <w:t>dá obecně dopad snižování MTR u </w:t>
            </w:r>
            <w:r w:rsidR="005374B2">
              <w:rPr>
                <w:rFonts w:ascii="Arial" w:hAnsi="Arial" w:cs="Arial"/>
                <w:sz w:val="20"/>
                <w:szCs w:val="20"/>
              </w:rPr>
              <w:t>zákazníků pevných sítí takový, že promítnutí snížení MTR (</w:t>
            </w:r>
            <w:proofErr w:type="spellStart"/>
            <w:r w:rsidR="005374B2">
              <w:rPr>
                <w:rFonts w:ascii="Arial" w:hAnsi="Arial" w:cs="Arial"/>
                <w:sz w:val="20"/>
                <w:szCs w:val="20"/>
              </w:rPr>
              <w:t>pass-through-rate</w:t>
            </w:r>
            <w:proofErr w:type="spellEnd"/>
            <w:r w:rsidR="005374B2">
              <w:rPr>
                <w:rFonts w:ascii="Arial" w:hAnsi="Arial" w:cs="Arial"/>
                <w:sz w:val="20"/>
                <w:szCs w:val="20"/>
              </w:rPr>
              <w:t>) je v pevných sítích ve výši 0,2 (tj. snížení MTR o 1 Kč se při volání z pevných sítí promítne snížením o 20 hal). Tento názor byl udrži</w:t>
            </w:r>
            <w:r w:rsidR="009672FB">
              <w:rPr>
                <w:rFonts w:ascii="Arial" w:hAnsi="Arial" w:cs="Arial"/>
                <w:sz w:val="20"/>
                <w:szCs w:val="20"/>
              </w:rPr>
              <w:t>telný v roce vydání, tj. 2009 a </w:t>
            </w:r>
            <w:r w:rsidR="005374B2">
              <w:rPr>
                <w:rFonts w:ascii="Arial" w:hAnsi="Arial" w:cs="Arial"/>
                <w:sz w:val="20"/>
                <w:szCs w:val="20"/>
              </w:rPr>
              <w:t>dříve, kdy výše MTR mohla působit jako bariéra pro snižování ceny na trhu menším soutěžitelům. V dnešní době lze však jen pochybovat o jak</w:t>
            </w:r>
            <w:r w:rsidR="009672FB">
              <w:rPr>
                <w:rFonts w:ascii="Arial" w:hAnsi="Arial" w:cs="Arial"/>
                <w:sz w:val="20"/>
                <w:szCs w:val="20"/>
              </w:rPr>
              <w:t>ékoliv míře korelace mezi MTR a </w:t>
            </w:r>
            <w:r w:rsidR="005374B2">
              <w:rPr>
                <w:rFonts w:ascii="Arial" w:hAnsi="Arial" w:cs="Arial"/>
                <w:sz w:val="20"/>
                <w:szCs w:val="20"/>
              </w:rPr>
              <w:t xml:space="preserve">maloobchodní cenou volání. </w:t>
            </w:r>
            <w:r>
              <w:rPr>
                <w:rFonts w:ascii="Arial" w:hAnsi="Arial" w:cs="Arial"/>
                <w:sz w:val="20"/>
                <w:szCs w:val="20"/>
              </w:rPr>
              <w:t>Úřad</w:t>
            </w:r>
            <w:r w:rsidR="005374B2">
              <w:rPr>
                <w:rFonts w:ascii="Arial" w:hAnsi="Arial" w:cs="Arial"/>
                <w:sz w:val="20"/>
                <w:szCs w:val="20"/>
              </w:rPr>
              <w:t xml:space="preserve"> by proto měl podle </w:t>
            </w:r>
            <w:r>
              <w:rPr>
                <w:rFonts w:ascii="Arial" w:hAnsi="Arial" w:cs="Arial"/>
                <w:sz w:val="20"/>
                <w:szCs w:val="20"/>
              </w:rPr>
              <w:t>připomínkujícího subjektu</w:t>
            </w:r>
            <w:r w:rsidR="005374B2">
              <w:rPr>
                <w:rFonts w:ascii="Arial" w:hAnsi="Arial" w:cs="Arial"/>
                <w:sz w:val="20"/>
                <w:szCs w:val="20"/>
              </w:rPr>
              <w:t xml:space="preserve"> své rozhodnutí odůvodnit co do přiměřenosti, a tudíž by měl analyzovat, jakou úroveň snížení koncových cen očekává v přímém </w:t>
            </w:r>
            <w:r w:rsidR="005374B2">
              <w:rPr>
                <w:rFonts w:ascii="Arial" w:hAnsi="Arial" w:cs="Arial"/>
                <w:sz w:val="20"/>
                <w:szCs w:val="20"/>
              </w:rPr>
              <w:lastRenderedPageBreak/>
              <w:t xml:space="preserve">důsledku změny MTR. </w:t>
            </w:r>
            <w:r>
              <w:rPr>
                <w:rFonts w:ascii="Arial" w:hAnsi="Arial" w:cs="Arial"/>
                <w:sz w:val="20"/>
                <w:szCs w:val="20"/>
              </w:rPr>
              <w:t>Připomínkující subjekt</w:t>
            </w:r>
            <w:r w:rsidR="005374B2">
              <w:rPr>
                <w:rFonts w:ascii="Arial" w:hAnsi="Arial" w:cs="Arial"/>
                <w:sz w:val="20"/>
                <w:szCs w:val="20"/>
              </w:rPr>
              <w:t xml:space="preserve"> rovněž znovu upozornil, že v důsledku poklesu MTR v porovnání s opožděným snižováním FTR, dochází k regulačně řízenému přesunu zisku z mobilního sektoru do pevného. K principu minimálního přiměřeného zásahu do práv a zájmů regulovaného subjektu </w:t>
            </w:r>
            <w:r w:rsidR="00EF54A6">
              <w:rPr>
                <w:rFonts w:ascii="Arial" w:hAnsi="Arial" w:cs="Arial"/>
                <w:sz w:val="20"/>
                <w:szCs w:val="20"/>
              </w:rPr>
              <w:t>připomínkující subjekt</w:t>
            </w:r>
            <w:r w:rsidR="005374B2">
              <w:rPr>
                <w:rFonts w:ascii="Arial" w:hAnsi="Arial" w:cs="Arial"/>
                <w:sz w:val="20"/>
                <w:szCs w:val="20"/>
              </w:rPr>
              <w:t xml:space="preserve"> zdůraznil, že podle něj tato skutečnost vyžaduje nutnost řádného odůvodnění tvrdšího zásahu ze strany </w:t>
            </w:r>
            <w:r w:rsidR="00EF54A6">
              <w:rPr>
                <w:rFonts w:ascii="Arial" w:hAnsi="Arial" w:cs="Arial"/>
                <w:sz w:val="20"/>
                <w:szCs w:val="20"/>
              </w:rPr>
              <w:t>Úřadu</w:t>
            </w:r>
            <w:r w:rsidR="005374B2">
              <w:rPr>
                <w:rFonts w:ascii="Arial" w:hAnsi="Arial" w:cs="Arial"/>
                <w:sz w:val="20"/>
                <w:szCs w:val="20"/>
              </w:rPr>
              <w:t xml:space="preserve">, jestliže se nabízí několik různých forem či možností tohoto zásahu. Zohledňování názorů Komise zakotvené mj. v § 108, odst. 3 Zákona nemá mít podle </w:t>
            </w:r>
            <w:r w:rsidR="00EF54A6">
              <w:rPr>
                <w:rFonts w:ascii="Arial" w:hAnsi="Arial" w:cs="Arial"/>
                <w:sz w:val="20"/>
                <w:szCs w:val="20"/>
              </w:rPr>
              <w:t>připomínkujícího subjektu</w:t>
            </w:r>
            <w:r w:rsidR="005374B2">
              <w:rPr>
                <w:rFonts w:ascii="Arial" w:hAnsi="Arial" w:cs="Arial"/>
                <w:sz w:val="20"/>
                <w:szCs w:val="20"/>
              </w:rPr>
              <w:t xml:space="preserve"> v odůvodnění předm</w:t>
            </w:r>
            <w:r w:rsidR="00A702F3">
              <w:rPr>
                <w:rFonts w:ascii="Arial" w:hAnsi="Arial" w:cs="Arial"/>
                <w:sz w:val="20"/>
                <w:szCs w:val="20"/>
              </w:rPr>
              <w:t>ětného Návrhu rozhodující vliv.</w:t>
            </w:r>
          </w:p>
        </w:tc>
        <w:tc>
          <w:tcPr>
            <w:tcW w:w="0" w:type="auto"/>
          </w:tcPr>
          <w:p w:rsidR="005374B2" w:rsidRDefault="005374B2" w:rsidP="00E05E10">
            <w:pPr>
              <w:spacing w:after="60"/>
              <w:jc w:val="both"/>
              <w:rPr>
                <w:rFonts w:ascii="Arial" w:hAnsi="Arial" w:cs="Arial"/>
                <w:sz w:val="20"/>
                <w:szCs w:val="20"/>
              </w:rPr>
            </w:pPr>
            <w:r>
              <w:rPr>
                <w:rFonts w:ascii="Arial" w:hAnsi="Arial" w:cs="Arial"/>
                <w:sz w:val="20"/>
                <w:szCs w:val="20"/>
              </w:rPr>
              <w:lastRenderedPageBreak/>
              <w:t>Neakceptováno</w:t>
            </w:r>
          </w:p>
          <w:p w:rsidR="008C4D39" w:rsidRDefault="008C4D39" w:rsidP="008C4D39">
            <w:pPr>
              <w:spacing w:after="60"/>
              <w:jc w:val="both"/>
              <w:rPr>
                <w:rFonts w:ascii="Arial" w:hAnsi="Arial"/>
                <w:sz w:val="20"/>
                <w:szCs w:val="20"/>
              </w:rPr>
            </w:pPr>
            <w:r>
              <w:rPr>
                <w:rFonts w:ascii="Arial" w:hAnsi="Arial"/>
                <w:sz w:val="20"/>
                <w:szCs w:val="20"/>
              </w:rPr>
              <w:t>Úřad</w:t>
            </w:r>
            <w:r w:rsidRPr="00C17529">
              <w:rPr>
                <w:rFonts w:ascii="Arial" w:hAnsi="Arial"/>
                <w:sz w:val="20"/>
                <w:szCs w:val="20"/>
              </w:rPr>
              <w:t xml:space="preserve"> </w:t>
            </w:r>
            <w:r>
              <w:rPr>
                <w:rFonts w:ascii="Arial" w:hAnsi="Arial"/>
                <w:sz w:val="20"/>
                <w:szCs w:val="20"/>
              </w:rPr>
              <w:t>se již k obdobným připomínkám připomínkujícího subjektu vyjádřil v rámci návrhu rozhodnutí o ceně a na svých argumentech setrvává.</w:t>
            </w:r>
          </w:p>
          <w:p w:rsidR="00B302D7" w:rsidRDefault="00B302D7" w:rsidP="008C4D39">
            <w:pPr>
              <w:spacing w:after="60"/>
              <w:jc w:val="both"/>
              <w:rPr>
                <w:rFonts w:ascii="Arial" w:hAnsi="Arial" w:cs="Arial"/>
                <w:sz w:val="20"/>
                <w:szCs w:val="20"/>
              </w:rPr>
            </w:pPr>
            <w:r>
              <w:rPr>
                <w:rFonts w:ascii="Arial" w:hAnsi="Arial"/>
                <w:sz w:val="20"/>
                <w:szCs w:val="20"/>
              </w:rPr>
              <w:t>K zákonnosti a důvodům postupu Úřadu viz také vypořádání připomínky č. 5.</w:t>
            </w:r>
          </w:p>
          <w:p w:rsidR="00B302D7" w:rsidRDefault="008C4D39" w:rsidP="00C56A1E">
            <w:pPr>
              <w:spacing w:after="60"/>
              <w:jc w:val="both"/>
              <w:rPr>
                <w:rFonts w:ascii="Arial" w:hAnsi="Arial" w:cs="Arial"/>
                <w:sz w:val="20"/>
                <w:szCs w:val="20"/>
              </w:rPr>
            </w:pPr>
            <w:r>
              <w:rPr>
                <w:rFonts w:ascii="Arial" w:hAnsi="Arial" w:cs="Arial"/>
                <w:sz w:val="20"/>
                <w:szCs w:val="20"/>
              </w:rPr>
              <w:t>Na tomto místě pak Úřad znovu uvádí</w:t>
            </w:r>
            <w:r w:rsidR="005374B2" w:rsidRPr="00C56A1E">
              <w:rPr>
                <w:rFonts w:ascii="Arial" w:hAnsi="Arial" w:cs="Arial"/>
                <w:sz w:val="20"/>
                <w:szCs w:val="20"/>
              </w:rPr>
              <w:t xml:space="preserve">, že úkolem rozhodnutí o ceně (jako nápravného opatření následujícího </w:t>
            </w:r>
            <w:r w:rsidR="005374B2" w:rsidRPr="00C56A1E">
              <w:rPr>
                <w:rFonts w:ascii="Arial" w:hAnsi="Arial" w:cs="Arial"/>
                <w:sz w:val="20"/>
                <w:szCs w:val="20"/>
              </w:rPr>
              <w:lastRenderedPageBreak/>
              <w:t>analýzu relevantního trh) není ověřovat či zkoumat platnost důvodů vedoucích k uložení cenové regulace (případně je doplňovat), protože takové zkoumání přísluší právě analýze relevantního trhu, kterou rozhodnutí o ceně nemůž</w:t>
            </w:r>
            <w:r w:rsidR="005374B2">
              <w:rPr>
                <w:rFonts w:ascii="Arial" w:hAnsi="Arial" w:cs="Arial"/>
                <w:sz w:val="20"/>
                <w:szCs w:val="20"/>
              </w:rPr>
              <w:t>e suplovat. V rozhodnutí o ceně</w:t>
            </w:r>
            <w:r w:rsidR="005374B2" w:rsidRPr="00C56A1E">
              <w:rPr>
                <w:rFonts w:ascii="Arial" w:hAnsi="Arial" w:cs="Arial"/>
                <w:sz w:val="20"/>
                <w:szCs w:val="20"/>
              </w:rPr>
              <w:t xml:space="preserve"> </w:t>
            </w:r>
            <w:r w:rsidR="00FA7F38">
              <w:rPr>
                <w:rFonts w:ascii="Arial" w:hAnsi="Arial" w:cs="Arial"/>
                <w:sz w:val="20"/>
                <w:szCs w:val="20"/>
              </w:rPr>
              <w:t>Úřad</w:t>
            </w:r>
            <w:r w:rsidR="005374B2" w:rsidRPr="00C56A1E">
              <w:rPr>
                <w:rFonts w:ascii="Arial" w:hAnsi="Arial" w:cs="Arial"/>
                <w:sz w:val="20"/>
                <w:szCs w:val="20"/>
              </w:rPr>
              <w:t xml:space="preserve"> neověřuje</w:t>
            </w:r>
            <w:r w:rsidR="005374B2">
              <w:rPr>
                <w:rFonts w:ascii="Arial" w:hAnsi="Arial" w:cs="Arial"/>
                <w:sz w:val="20"/>
                <w:szCs w:val="20"/>
              </w:rPr>
              <w:t xml:space="preserve"> např.</w:t>
            </w:r>
            <w:r w:rsidR="005374B2" w:rsidRPr="00C56A1E">
              <w:rPr>
                <w:rFonts w:ascii="Arial" w:hAnsi="Arial" w:cs="Arial"/>
                <w:sz w:val="20"/>
                <w:szCs w:val="20"/>
              </w:rPr>
              <w:t>, zda by na trhu mohlo docházet k uplatňování nepřiměřeně vysoké či nízké ceny v neprospěch koncových uživatelů.</w:t>
            </w:r>
            <w:r w:rsidR="00B302D7">
              <w:rPr>
                <w:rFonts w:ascii="Arial" w:hAnsi="Arial" w:cs="Arial"/>
                <w:sz w:val="20"/>
                <w:szCs w:val="20"/>
              </w:rPr>
              <w:t xml:space="preserve"> Úřad nicméně uvádí, že k</w:t>
            </w:r>
            <w:r w:rsidR="00B302D7" w:rsidRPr="00B302D7">
              <w:rPr>
                <w:rFonts w:ascii="Arial" w:hAnsi="Arial" w:cs="Arial"/>
                <w:sz w:val="20"/>
                <w:szCs w:val="20"/>
              </w:rPr>
              <w:t>auzalitu mezi změnou velkoobchodních a následně maloobchodních cen odvozuje od předpokladu, že velkoobchodní cena tvoří jeden ze vstupních nákladů do ceny maloobchodní, a jako takový by tuto (maloobchodní) cenu měl ovlivňovat</w:t>
            </w:r>
            <w:r w:rsidR="00B302D7">
              <w:rPr>
                <w:rFonts w:ascii="Arial" w:hAnsi="Arial" w:cs="Arial"/>
                <w:sz w:val="20"/>
                <w:szCs w:val="20"/>
              </w:rPr>
              <w:t>.</w:t>
            </w:r>
            <w:r w:rsidR="000E7465">
              <w:rPr>
                <w:rFonts w:ascii="Arial" w:hAnsi="Arial" w:cs="Arial"/>
                <w:sz w:val="20"/>
                <w:szCs w:val="20"/>
              </w:rPr>
              <w:t xml:space="preserve"> Jedním z principů zvoleného způsobu regulace je přitom snaha o přesun části nákladů z velkoobchodních cen terminace (nákladů společných a sdílených) do cen služeb poskytovaných na maloobchodních trzích, na nichž obecně panuje větší míra konkurenčního prostředí a tedy i tlak na větší efektivitu operátorů vedoucí ve svém důsledku k nižším (maloobchodním) cenám.</w:t>
            </w:r>
            <w:r w:rsidR="00332841">
              <w:rPr>
                <w:rFonts w:ascii="Arial" w:hAnsi="Arial" w:cs="Arial"/>
                <w:sz w:val="20"/>
                <w:szCs w:val="20"/>
              </w:rPr>
              <w:t xml:space="preserve"> Úřad nemá za to, že je třeba se nad rámec této úvahy pouštět do přesného odhadu budoucího poklesu maloobchodních cen, tak, jak navrhuje připomínkující subjekt.</w:t>
            </w:r>
          </w:p>
          <w:p w:rsidR="000E7465" w:rsidRPr="00C56A1E" w:rsidRDefault="000E7465" w:rsidP="00C56A1E">
            <w:pPr>
              <w:spacing w:after="60"/>
              <w:jc w:val="both"/>
              <w:rPr>
                <w:rFonts w:ascii="Arial" w:hAnsi="Arial" w:cs="Arial"/>
                <w:sz w:val="20"/>
                <w:szCs w:val="20"/>
              </w:rPr>
            </w:pPr>
            <w:r>
              <w:rPr>
                <w:rFonts w:ascii="Arial" w:hAnsi="Arial" w:cs="Arial"/>
                <w:sz w:val="20"/>
                <w:szCs w:val="20"/>
              </w:rPr>
              <w:t>Úřad také znovu připomíná</w:t>
            </w:r>
            <w:r w:rsidRPr="004A7C80">
              <w:rPr>
                <w:rFonts w:ascii="Arial" w:hAnsi="Arial" w:cs="Arial"/>
                <w:sz w:val="20"/>
                <w:szCs w:val="20"/>
              </w:rPr>
              <w:t xml:space="preserve"> § 108 odst. 3 Zákona, podle kterého je při sv</w:t>
            </w:r>
            <w:r>
              <w:rPr>
                <w:rFonts w:ascii="Arial" w:hAnsi="Arial" w:cs="Arial"/>
                <w:sz w:val="20"/>
                <w:szCs w:val="20"/>
              </w:rPr>
              <w:t>é působnosti povinen vycházet i </w:t>
            </w:r>
            <w:r w:rsidRPr="004A7C80">
              <w:rPr>
                <w:rFonts w:ascii="Arial" w:hAnsi="Arial" w:cs="Arial"/>
                <w:sz w:val="20"/>
                <w:szCs w:val="20"/>
              </w:rPr>
              <w:t xml:space="preserve">z Doporučení Evropské komise, </w:t>
            </w:r>
            <w:r w:rsidRPr="004A7C80">
              <w:rPr>
                <w:rFonts w:ascii="Arial" w:hAnsi="Arial" w:cs="Arial"/>
                <w:sz w:val="20"/>
                <w:szCs w:val="20"/>
              </w:rPr>
              <w:lastRenderedPageBreak/>
              <w:t xml:space="preserve">případně bezodkladně Evropskou komisi informovat o svém rozhodnutí </w:t>
            </w:r>
            <w:r>
              <w:rPr>
                <w:rFonts w:ascii="Arial" w:hAnsi="Arial" w:cs="Arial"/>
                <w:sz w:val="20"/>
                <w:szCs w:val="20"/>
              </w:rPr>
              <w:t>podle Doporučení nepostupovat a </w:t>
            </w:r>
            <w:r w:rsidRPr="004A7C80">
              <w:rPr>
                <w:rFonts w:ascii="Arial" w:hAnsi="Arial" w:cs="Arial"/>
                <w:sz w:val="20"/>
                <w:szCs w:val="20"/>
              </w:rPr>
              <w:t xml:space="preserve">své rozhodnutí (nepostupovat podle Doporučení) zdůvodnit. </w:t>
            </w:r>
            <w:r>
              <w:rPr>
                <w:rFonts w:ascii="Arial" w:hAnsi="Arial" w:cs="Arial"/>
                <w:sz w:val="20"/>
                <w:szCs w:val="20"/>
              </w:rPr>
              <w:t>Úřad</w:t>
            </w:r>
            <w:r w:rsidRPr="004A7C80">
              <w:rPr>
                <w:rFonts w:ascii="Arial" w:hAnsi="Arial" w:cs="Arial"/>
                <w:sz w:val="20"/>
                <w:szCs w:val="20"/>
              </w:rPr>
              <w:t xml:space="preserve"> tak má za to, že dle současné právní úpravy je povinen pečlivě zdůvodnit odklon od doporučení (např. z důvodu jeho možného </w:t>
            </w:r>
            <w:r w:rsidR="00213A6A">
              <w:rPr>
                <w:rFonts w:ascii="Arial" w:hAnsi="Arial" w:cs="Arial"/>
                <w:sz w:val="20"/>
                <w:szCs w:val="20"/>
              </w:rPr>
              <w:t>rozporu s národní legislativou)</w:t>
            </w:r>
            <w:r w:rsidRPr="004A7C80">
              <w:rPr>
                <w:rFonts w:ascii="Arial" w:hAnsi="Arial" w:cs="Arial"/>
                <w:sz w:val="20"/>
                <w:szCs w:val="20"/>
              </w:rPr>
              <w:t xml:space="preserve"> spíše</w:t>
            </w:r>
            <w:r w:rsidR="00213A6A">
              <w:rPr>
                <w:rFonts w:ascii="Arial" w:hAnsi="Arial" w:cs="Arial"/>
                <w:sz w:val="20"/>
                <w:szCs w:val="20"/>
              </w:rPr>
              <w:t>,</w:t>
            </w:r>
            <w:r w:rsidRPr="004A7C80">
              <w:rPr>
                <w:rFonts w:ascii="Arial" w:hAnsi="Arial" w:cs="Arial"/>
                <w:sz w:val="20"/>
                <w:szCs w:val="20"/>
              </w:rPr>
              <w:t xml:space="preserve"> než postup v souladu s ním. Chybějící hlubší rozbor, proč právě postup navržený v Doporučení je při regulaci terminačních cen </w:t>
            </w:r>
            <w:r w:rsidR="009672FB">
              <w:rPr>
                <w:rFonts w:ascii="Arial" w:hAnsi="Arial" w:cs="Arial"/>
                <w:sz w:val="20"/>
                <w:szCs w:val="20"/>
              </w:rPr>
              <w:t>tím nejvhodnějším a </w:t>
            </w:r>
            <w:r w:rsidRPr="004A7C80">
              <w:rPr>
                <w:rFonts w:ascii="Arial" w:hAnsi="Arial" w:cs="Arial"/>
                <w:sz w:val="20"/>
                <w:szCs w:val="20"/>
              </w:rPr>
              <w:t xml:space="preserve">přiměřeným nápravným opatření pak dle </w:t>
            </w:r>
            <w:r>
              <w:rPr>
                <w:rFonts w:ascii="Arial" w:hAnsi="Arial" w:cs="Arial"/>
                <w:sz w:val="20"/>
                <w:szCs w:val="20"/>
              </w:rPr>
              <w:t>Úřadu</w:t>
            </w:r>
            <w:r w:rsidRPr="004A7C80">
              <w:rPr>
                <w:rFonts w:ascii="Arial" w:hAnsi="Arial" w:cs="Arial"/>
                <w:sz w:val="20"/>
                <w:szCs w:val="20"/>
              </w:rPr>
              <w:t xml:space="preserve"> n</w:t>
            </w:r>
            <w:r>
              <w:rPr>
                <w:rFonts w:ascii="Arial" w:hAnsi="Arial" w:cs="Arial"/>
                <w:sz w:val="20"/>
                <w:szCs w:val="20"/>
              </w:rPr>
              <w:t>ezpůsobuje nepřezkoumatelnost</w:t>
            </w:r>
            <w:r w:rsidRPr="004A7C80">
              <w:rPr>
                <w:rFonts w:ascii="Arial" w:hAnsi="Arial" w:cs="Arial"/>
                <w:sz w:val="20"/>
                <w:szCs w:val="20"/>
              </w:rPr>
              <w:t xml:space="preserve"> ani nezákonnost rozhodnutí. V této souvislosti </w:t>
            </w:r>
            <w:r>
              <w:rPr>
                <w:rFonts w:ascii="Arial" w:hAnsi="Arial" w:cs="Arial"/>
                <w:sz w:val="20"/>
                <w:szCs w:val="20"/>
              </w:rPr>
              <w:t>Úřad</w:t>
            </w:r>
            <w:r w:rsidRPr="004A7C80">
              <w:rPr>
                <w:rFonts w:ascii="Arial" w:hAnsi="Arial" w:cs="Arial"/>
                <w:sz w:val="20"/>
                <w:szCs w:val="20"/>
              </w:rPr>
              <w:t xml:space="preserve"> připomíná, že argumentace, proč právě metoda „</w:t>
            </w:r>
            <w:proofErr w:type="spellStart"/>
            <w:r w:rsidRPr="004A7C80">
              <w:rPr>
                <w:rFonts w:ascii="Arial" w:hAnsi="Arial" w:cs="Arial"/>
                <w:sz w:val="20"/>
                <w:szCs w:val="20"/>
              </w:rPr>
              <w:t>pure</w:t>
            </w:r>
            <w:proofErr w:type="spellEnd"/>
            <w:r w:rsidRPr="004A7C80">
              <w:rPr>
                <w:rFonts w:ascii="Arial" w:hAnsi="Arial" w:cs="Arial"/>
                <w:sz w:val="20"/>
                <w:szCs w:val="20"/>
              </w:rPr>
              <w:t xml:space="preserve">“ LRIC je pro regulaci terminačních cen ta nejvhodnější, je vedena ve </w:t>
            </w:r>
            <w:hyperlink r:id="rId12" w:history="1">
              <w:r w:rsidRPr="004A7C80">
                <w:rPr>
                  <w:rStyle w:val="Hypertextovodkaz"/>
                  <w:rFonts w:ascii="Arial" w:hAnsi="Arial" w:cs="Arial"/>
                  <w:sz w:val="20"/>
                  <w:szCs w:val="20"/>
                </w:rPr>
                <w:t>Vysvětlující zprávě</w:t>
              </w:r>
            </w:hyperlink>
            <w:r w:rsidRPr="004A7C80">
              <w:rPr>
                <w:rFonts w:ascii="Arial" w:hAnsi="Arial" w:cs="Arial"/>
                <w:sz w:val="20"/>
                <w:szCs w:val="20"/>
              </w:rPr>
              <w:t xml:space="preserve"> k vydanému Doporučení, se kterým se </w:t>
            </w:r>
            <w:r>
              <w:rPr>
                <w:rFonts w:ascii="Arial" w:hAnsi="Arial" w:cs="Arial"/>
                <w:sz w:val="20"/>
                <w:szCs w:val="20"/>
              </w:rPr>
              <w:t>připomínkující subjekt</w:t>
            </w:r>
            <w:r w:rsidRPr="004A7C80">
              <w:rPr>
                <w:rFonts w:ascii="Arial" w:hAnsi="Arial" w:cs="Arial"/>
                <w:sz w:val="20"/>
                <w:szCs w:val="20"/>
              </w:rPr>
              <w:t xml:space="preserve"> mohl seznámit. Tato zpráva přitom nepopisuje stav terminačních trhů jen v některých členských státech EU, ale obecné charakteristiky těchto trhů společné pro všechny členské státy EU. Podle </w:t>
            </w:r>
            <w:r>
              <w:rPr>
                <w:rFonts w:ascii="Arial" w:hAnsi="Arial" w:cs="Arial"/>
                <w:sz w:val="20"/>
                <w:szCs w:val="20"/>
              </w:rPr>
              <w:t>Úřadu</w:t>
            </w:r>
            <w:r w:rsidRPr="004A7C80">
              <w:rPr>
                <w:rFonts w:ascii="Arial" w:hAnsi="Arial" w:cs="Arial"/>
                <w:sz w:val="20"/>
                <w:szCs w:val="20"/>
              </w:rPr>
              <w:t xml:space="preserve"> přitom platí, že povaha soutěžních problémů je na všech terminačních trzích ve všech členských státech EU v zásadě stejná (100 % tržní podíl každého operátora ve své vlastní síti a z toho vyplývající možnost stanovit velkoobchodní cenu za terminaci nezávisle na ostatních účastnících trhu), což výrazně omezuje jakoukoliv možnost pro zohlednění případných </w:t>
            </w:r>
            <w:r w:rsidRPr="004A7C80">
              <w:rPr>
                <w:rFonts w:ascii="Arial" w:hAnsi="Arial" w:cs="Arial"/>
                <w:sz w:val="20"/>
                <w:szCs w:val="20"/>
              </w:rPr>
              <w:lastRenderedPageBreak/>
              <w:t>národních specifik, která by mohla být použita pro zdůvodnění rozhodnutí nepost</w:t>
            </w:r>
            <w:r>
              <w:rPr>
                <w:rFonts w:ascii="Arial" w:hAnsi="Arial" w:cs="Arial"/>
                <w:sz w:val="20"/>
                <w:szCs w:val="20"/>
              </w:rPr>
              <w:t>upovat v souladu s Doporučením.</w:t>
            </w:r>
          </w:p>
          <w:p w:rsidR="005374B2" w:rsidRPr="000E349D" w:rsidRDefault="005374B2" w:rsidP="000E7465">
            <w:pPr>
              <w:spacing w:after="60"/>
              <w:jc w:val="both"/>
              <w:rPr>
                <w:rFonts w:ascii="Arial" w:hAnsi="Arial" w:cs="Arial"/>
                <w:sz w:val="20"/>
                <w:szCs w:val="20"/>
              </w:rPr>
            </w:pPr>
            <w:r w:rsidRPr="008E19C8">
              <w:rPr>
                <w:rFonts w:ascii="Arial" w:hAnsi="Arial" w:cs="Arial"/>
                <w:sz w:val="20"/>
                <w:szCs w:val="20"/>
              </w:rPr>
              <w:t>K části připomínky, v</w:t>
            </w:r>
            <w:r w:rsidR="00FA7F38">
              <w:rPr>
                <w:rFonts w:ascii="Arial" w:hAnsi="Arial" w:cs="Arial"/>
                <w:sz w:val="20"/>
                <w:szCs w:val="20"/>
              </w:rPr>
              <w:t> </w:t>
            </w:r>
            <w:r w:rsidRPr="008E19C8">
              <w:rPr>
                <w:rFonts w:ascii="Arial" w:hAnsi="Arial" w:cs="Arial"/>
                <w:sz w:val="20"/>
                <w:szCs w:val="20"/>
              </w:rPr>
              <w:t>níž</w:t>
            </w:r>
            <w:r w:rsidR="00FA7F38">
              <w:rPr>
                <w:rFonts w:ascii="Arial" w:hAnsi="Arial" w:cs="Arial"/>
                <w:sz w:val="20"/>
                <w:szCs w:val="20"/>
              </w:rPr>
              <w:t xml:space="preserve"> připomínkující subjekt</w:t>
            </w:r>
            <w:r w:rsidRPr="008E19C8">
              <w:rPr>
                <w:rFonts w:ascii="Arial" w:hAnsi="Arial" w:cs="Arial"/>
                <w:sz w:val="20"/>
                <w:szCs w:val="20"/>
              </w:rPr>
              <w:t xml:space="preserve"> dovozuje</w:t>
            </w:r>
            <w:r>
              <w:rPr>
                <w:rFonts w:ascii="Arial" w:hAnsi="Arial" w:cs="Arial"/>
                <w:sz w:val="20"/>
                <w:szCs w:val="20"/>
              </w:rPr>
              <w:t xml:space="preserve"> </w:t>
            </w:r>
            <w:r w:rsidRPr="008E19C8">
              <w:rPr>
                <w:rFonts w:ascii="Arial" w:hAnsi="Arial" w:cs="Arial"/>
                <w:sz w:val="20"/>
                <w:szCs w:val="20"/>
              </w:rPr>
              <w:t xml:space="preserve">výrazný přesun zisku z mobilního sektoru do pevného, </w:t>
            </w:r>
            <w:r w:rsidR="00FA7F38">
              <w:rPr>
                <w:rFonts w:ascii="Arial" w:hAnsi="Arial" w:cs="Arial"/>
                <w:sz w:val="20"/>
                <w:szCs w:val="20"/>
              </w:rPr>
              <w:t>Úřad</w:t>
            </w:r>
            <w:r w:rsidRPr="008E19C8">
              <w:rPr>
                <w:rFonts w:ascii="Arial" w:hAnsi="Arial" w:cs="Arial"/>
                <w:sz w:val="20"/>
                <w:szCs w:val="20"/>
              </w:rPr>
              <w:t xml:space="preserve"> uvádí, že</w:t>
            </w:r>
            <w:r>
              <w:rPr>
                <w:rFonts w:ascii="Arial" w:hAnsi="Arial" w:cs="Arial"/>
                <w:sz w:val="20"/>
                <w:szCs w:val="20"/>
              </w:rPr>
              <w:t xml:space="preserve"> </w:t>
            </w:r>
            <w:r w:rsidRPr="008E19C8">
              <w:rPr>
                <w:rFonts w:ascii="Arial" w:hAnsi="Arial" w:cs="Arial"/>
                <w:sz w:val="20"/>
                <w:szCs w:val="20"/>
              </w:rPr>
              <w:t>velkoobchodní cen</w:t>
            </w:r>
            <w:r w:rsidR="00FA7F38">
              <w:rPr>
                <w:rFonts w:ascii="Arial" w:hAnsi="Arial" w:cs="Arial"/>
                <w:sz w:val="20"/>
                <w:szCs w:val="20"/>
              </w:rPr>
              <w:t>y</w:t>
            </w:r>
            <w:r w:rsidRPr="008E19C8">
              <w:rPr>
                <w:rFonts w:ascii="Arial" w:hAnsi="Arial" w:cs="Arial"/>
                <w:sz w:val="20"/>
                <w:szCs w:val="20"/>
              </w:rPr>
              <w:t xml:space="preserve"> za terminaci bud</w:t>
            </w:r>
            <w:r w:rsidR="00FA7F38">
              <w:rPr>
                <w:rFonts w:ascii="Arial" w:hAnsi="Arial" w:cs="Arial"/>
                <w:sz w:val="20"/>
                <w:szCs w:val="20"/>
              </w:rPr>
              <w:t>ou</w:t>
            </w:r>
            <w:r w:rsidRPr="008E19C8">
              <w:rPr>
                <w:rFonts w:ascii="Arial" w:hAnsi="Arial" w:cs="Arial"/>
                <w:sz w:val="20"/>
                <w:szCs w:val="20"/>
              </w:rPr>
              <w:t xml:space="preserve"> na obou</w:t>
            </w:r>
            <w:r w:rsidR="00FA7F38">
              <w:rPr>
                <w:rFonts w:ascii="Arial" w:hAnsi="Arial" w:cs="Arial"/>
                <w:sz w:val="20"/>
                <w:szCs w:val="20"/>
              </w:rPr>
              <w:t xml:space="preserve"> relevantních</w:t>
            </w:r>
            <w:r w:rsidRPr="008E19C8">
              <w:rPr>
                <w:rFonts w:ascii="Arial" w:hAnsi="Arial" w:cs="Arial"/>
                <w:sz w:val="20"/>
                <w:szCs w:val="20"/>
              </w:rPr>
              <w:t xml:space="preserve"> trzích (č. 3 a 7)</w:t>
            </w:r>
            <w:r w:rsidR="00FA7F38" w:rsidRPr="008E19C8">
              <w:rPr>
                <w:rFonts w:ascii="Arial" w:hAnsi="Arial" w:cs="Arial"/>
                <w:sz w:val="20"/>
                <w:szCs w:val="20"/>
              </w:rPr>
              <w:t xml:space="preserve"> </w:t>
            </w:r>
            <w:r w:rsidR="00FA7F38">
              <w:rPr>
                <w:rFonts w:ascii="Arial" w:hAnsi="Arial" w:cs="Arial"/>
                <w:sz w:val="20"/>
                <w:szCs w:val="20"/>
              </w:rPr>
              <w:t>stanoveny</w:t>
            </w:r>
            <w:r w:rsidR="00FA7F38" w:rsidRPr="008E19C8">
              <w:rPr>
                <w:rFonts w:ascii="Arial" w:hAnsi="Arial" w:cs="Arial"/>
                <w:sz w:val="20"/>
                <w:szCs w:val="20"/>
              </w:rPr>
              <w:t xml:space="preserve"> konzistentně na základě stejné metody</w:t>
            </w:r>
            <w:r w:rsidR="00FA7F38">
              <w:rPr>
                <w:rFonts w:ascii="Arial" w:hAnsi="Arial" w:cs="Arial"/>
                <w:sz w:val="20"/>
                <w:szCs w:val="20"/>
              </w:rPr>
              <w:t xml:space="preserve"> </w:t>
            </w:r>
            <w:r w:rsidR="00FA7F38" w:rsidRPr="008E19C8">
              <w:rPr>
                <w:rFonts w:ascii="Arial" w:hAnsi="Arial" w:cs="Arial"/>
                <w:sz w:val="20"/>
                <w:szCs w:val="20"/>
              </w:rPr>
              <w:t>čistých přírůstkových nákladů</w:t>
            </w:r>
            <w:r w:rsidRPr="008E19C8">
              <w:rPr>
                <w:rFonts w:ascii="Arial" w:hAnsi="Arial" w:cs="Arial"/>
                <w:sz w:val="20"/>
                <w:szCs w:val="20"/>
              </w:rPr>
              <w:t>.</w:t>
            </w:r>
          </w:p>
        </w:tc>
      </w:tr>
      <w:tr w:rsidR="00BC2A4D" w:rsidRPr="00EC6451" w:rsidTr="005374B2">
        <w:tc>
          <w:tcPr>
            <w:tcW w:w="0" w:type="auto"/>
          </w:tcPr>
          <w:p w:rsidR="005374B2" w:rsidRPr="00E63BB4" w:rsidRDefault="005374B2" w:rsidP="002D7B79">
            <w:pPr>
              <w:spacing w:after="60"/>
              <w:rPr>
                <w:rFonts w:ascii="Arial" w:hAnsi="Arial" w:cs="Arial"/>
                <w:sz w:val="20"/>
                <w:szCs w:val="20"/>
              </w:rPr>
            </w:pPr>
            <w:r>
              <w:rPr>
                <w:rFonts w:ascii="Arial" w:hAnsi="Arial" w:cs="Arial"/>
                <w:sz w:val="20"/>
                <w:szCs w:val="20"/>
              </w:rPr>
              <w:lastRenderedPageBreak/>
              <w:t>Obecná poznámka</w:t>
            </w:r>
          </w:p>
        </w:tc>
        <w:tc>
          <w:tcPr>
            <w:tcW w:w="0" w:type="auto"/>
          </w:tcPr>
          <w:p w:rsidR="005374B2" w:rsidRPr="00E63BB4" w:rsidRDefault="005374B2" w:rsidP="002D7B79">
            <w:pPr>
              <w:spacing w:after="60"/>
              <w:rPr>
                <w:rFonts w:ascii="Arial" w:hAnsi="Arial" w:cs="Arial"/>
                <w:sz w:val="20"/>
                <w:szCs w:val="20"/>
              </w:rPr>
            </w:pPr>
          </w:p>
        </w:tc>
        <w:tc>
          <w:tcPr>
            <w:tcW w:w="0" w:type="auto"/>
          </w:tcPr>
          <w:p w:rsidR="005374B2" w:rsidRDefault="005374B2" w:rsidP="00776349">
            <w:pPr>
              <w:spacing w:after="60"/>
              <w:rPr>
                <w:rFonts w:ascii="Arial" w:hAnsi="Arial" w:cs="Arial"/>
                <w:sz w:val="20"/>
                <w:szCs w:val="20"/>
              </w:rPr>
            </w:pPr>
            <w:r>
              <w:rPr>
                <w:rFonts w:ascii="Arial" w:hAnsi="Arial" w:cs="Arial"/>
                <w:sz w:val="20"/>
                <w:szCs w:val="20"/>
              </w:rPr>
              <w:t>Vodafone Czech Republic a.s. (9)</w:t>
            </w:r>
          </w:p>
        </w:tc>
        <w:tc>
          <w:tcPr>
            <w:tcW w:w="0" w:type="auto"/>
          </w:tcPr>
          <w:p w:rsidR="005374B2" w:rsidRDefault="008169EE" w:rsidP="00742BDE">
            <w:pPr>
              <w:autoSpaceDE w:val="0"/>
              <w:autoSpaceDN w:val="0"/>
              <w:adjustRightInd w:val="0"/>
              <w:jc w:val="both"/>
              <w:rPr>
                <w:rFonts w:ascii="Arial" w:hAnsi="Arial" w:cs="Arial"/>
                <w:sz w:val="20"/>
                <w:szCs w:val="20"/>
              </w:rPr>
            </w:pPr>
            <w:r>
              <w:rPr>
                <w:rFonts w:ascii="Arial" w:hAnsi="Arial" w:cs="Arial"/>
                <w:sz w:val="20"/>
                <w:szCs w:val="20"/>
              </w:rPr>
              <w:t>Připomínkující subjekt</w:t>
            </w:r>
            <w:r w:rsidR="00742BDE">
              <w:rPr>
                <w:rFonts w:ascii="Arial" w:hAnsi="Arial" w:cs="Arial"/>
                <w:sz w:val="20"/>
                <w:szCs w:val="20"/>
              </w:rPr>
              <w:t xml:space="preserve"> dále uváděl, že dle Úřadu je již cenový pokles OPEX z důvodu navázání výše OPEX na klesající pořizovací ceny CAPEX v modelu zapracován. Podle připomínkujícího subjektu je však toto zapracování nedostatečné.</w:t>
            </w:r>
            <w:r w:rsidR="005374B2">
              <w:rPr>
                <w:rFonts w:ascii="Arial" w:hAnsi="Arial" w:cs="Arial"/>
                <w:sz w:val="20"/>
                <w:szCs w:val="20"/>
              </w:rPr>
              <w:t xml:space="preserve"> Podle </w:t>
            </w:r>
            <w:r w:rsidR="00742BDE">
              <w:rPr>
                <w:rFonts w:ascii="Arial" w:hAnsi="Arial" w:cs="Arial"/>
                <w:sz w:val="20"/>
                <w:szCs w:val="20"/>
              </w:rPr>
              <w:t>připomínkujícího subjektu</w:t>
            </w:r>
            <w:r w:rsidR="005374B2">
              <w:rPr>
                <w:rFonts w:ascii="Arial" w:hAnsi="Arial" w:cs="Arial"/>
                <w:sz w:val="20"/>
                <w:szCs w:val="20"/>
              </w:rPr>
              <w:t xml:space="preserve"> cenový pokles majetků v každém roce nejčastěji odpovídá výši 7 %, zatímco je u OPEX cenový nárůst ve výši 2,8 % v roce 2 a pouze 1,6 % v dalších letech, tj. v prvním roce je cenový nárůst na OPEX 2,5x nižší, než je cenový pokles pořizovacích cen majetků (CAPEX), a v dalších letech je OPEX nárůst 4,375x nižší, než je cenový pokles pořizovacích cen majetků. Navíc, i pokud by byl nárůst OPEX ve stejné hodnotě jako je cenový pokles pořizovacích cen, celkové výdaje by byly meziročně nižší, jelikož cenový pokles je z vyšší základny, než je cenový nárůst. Dále </w:t>
            </w:r>
            <w:r w:rsidR="00742BDE">
              <w:rPr>
                <w:rFonts w:ascii="Arial" w:hAnsi="Arial" w:cs="Arial"/>
                <w:sz w:val="20"/>
                <w:szCs w:val="20"/>
              </w:rPr>
              <w:t>připomínkující subjekt</w:t>
            </w:r>
            <w:r w:rsidR="005374B2">
              <w:rPr>
                <w:rFonts w:ascii="Arial" w:hAnsi="Arial" w:cs="Arial"/>
                <w:sz w:val="20"/>
                <w:szCs w:val="20"/>
              </w:rPr>
              <w:t xml:space="preserve"> uvádí, že možnosti pro zadávání cenových </w:t>
            </w:r>
            <w:r w:rsidR="005374B2">
              <w:rPr>
                <w:rFonts w:ascii="Arial" w:hAnsi="Arial" w:cs="Arial"/>
                <w:sz w:val="20"/>
                <w:szCs w:val="20"/>
              </w:rPr>
              <w:lastRenderedPageBreak/>
              <w:t xml:space="preserve">trendů pro OPEX nejsou v modelu zakomponovány a je možné zadat pouze stav pro (jeden) první rok. Dle názoru </w:t>
            </w:r>
            <w:r w:rsidR="00742BDE">
              <w:rPr>
                <w:rFonts w:ascii="Arial" w:hAnsi="Arial" w:cs="Arial"/>
                <w:sz w:val="20"/>
                <w:szCs w:val="20"/>
              </w:rPr>
              <w:t>připomínkujícího subjektu</w:t>
            </w:r>
            <w:r w:rsidR="005374B2">
              <w:rPr>
                <w:rFonts w:ascii="Arial" w:hAnsi="Arial" w:cs="Arial"/>
                <w:sz w:val="20"/>
                <w:szCs w:val="20"/>
              </w:rPr>
              <w:t xml:space="preserve"> by </w:t>
            </w:r>
            <w:r w:rsidR="00742BDE">
              <w:rPr>
                <w:rFonts w:ascii="Arial" w:hAnsi="Arial" w:cs="Arial"/>
                <w:sz w:val="20"/>
                <w:szCs w:val="20"/>
              </w:rPr>
              <w:t>Úřad</w:t>
            </w:r>
            <w:r w:rsidR="005374B2">
              <w:rPr>
                <w:rFonts w:ascii="Arial" w:hAnsi="Arial" w:cs="Arial"/>
                <w:sz w:val="20"/>
                <w:szCs w:val="20"/>
              </w:rPr>
              <w:t xml:space="preserve"> neměl používat argument snižování stavu zaměstnanců v souvislosti s poklesem </w:t>
            </w:r>
            <w:proofErr w:type="spellStart"/>
            <w:r w:rsidR="005374B2">
              <w:rPr>
                <w:rFonts w:ascii="Arial" w:hAnsi="Arial" w:cs="Arial"/>
                <w:sz w:val="20"/>
                <w:szCs w:val="20"/>
              </w:rPr>
              <w:t>OPEXu</w:t>
            </w:r>
            <w:proofErr w:type="spellEnd"/>
            <w:r w:rsidR="005374B2">
              <w:rPr>
                <w:rFonts w:ascii="Arial" w:hAnsi="Arial" w:cs="Arial"/>
                <w:sz w:val="20"/>
                <w:szCs w:val="20"/>
              </w:rPr>
              <w:t xml:space="preserve"> pro</w:t>
            </w:r>
            <w:r w:rsidR="009672FB">
              <w:rPr>
                <w:rFonts w:ascii="Arial" w:hAnsi="Arial" w:cs="Arial"/>
                <w:sz w:val="20"/>
                <w:szCs w:val="20"/>
              </w:rPr>
              <w:t xml:space="preserve"> obhajobu parametrických změn v </w:t>
            </w:r>
            <w:r w:rsidR="005374B2">
              <w:rPr>
                <w:rFonts w:ascii="Arial" w:hAnsi="Arial" w:cs="Arial"/>
                <w:sz w:val="20"/>
                <w:szCs w:val="20"/>
              </w:rPr>
              <w:t>modelu, které bylo vynucené situací na trhu. V situaci, kdy společnost hledá úspory, je nucena snižovat jak na OPEX, tak i CAPEX. Zcela nezávislou úvahou je potom generální obměna sítě, zavádění no</w:t>
            </w:r>
            <w:r w:rsidR="009672FB">
              <w:rPr>
                <w:rFonts w:ascii="Arial" w:hAnsi="Arial" w:cs="Arial"/>
                <w:sz w:val="20"/>
                <w:szCs w:val="20"/>
              </w:rPr>
              <w:t>vých technologií a </w:t>
            </w:r>
            <w:r w:rsidR="00A702F3">
              <w:rPr>
                <w:rFonts w:ascii="Arial" w:hAnsi="Arial" w:cs="Arial"/>
                <w:sz w:val="20"/>
                <w:szCs w:val="20"/>
              </w:rPr>
              <w:t>výstavba 4G.</w:t>
            </w:r>
          </w:p>
        </w:tc>
        <w:tc>
          <w:tcPr>
            <w:tcW w:w="0" w:type="auto"/>
          </w:tcPr>
          <w:p w:rsidR="005374B2" w:rsidRDefault="005374B2" w:rsidP="007B6765">
            <w:pPr>
              <w:spacing w:after="60"/>
              <w:jc w:val="both"/>
              <w:rPr>
                <w:rFonts w:ascii="Arial" w:hAnsi="Arial" w:cs="Arial"/>
                <w:sz w:val="20"/>
                <w:szCs w:val="20"/>
              </w:rPr>
            </w:pPr>
            <w:r>
              <w:rPr>
                <w:rFonts w:ascii="Arial" w:hAnsi="Arial" w:cs="Arial"/>
                <w:sz w:val="20"/>
                <w:szCs w:val="20"/>
              </w:rPr>
              <w:lastRenderedPageBreak/>
              <w:t>Neakceptováno</w:t>
            </w:r>
          </w:p>
          <w:p w:rsidR="00F218A0" w:rsidRPr="00F218A0" w:rsidRDefault="00F218A0" w:rsidP="00F218A0">
            <w:pPr>
              <w:spacing w:after="60"/>
              <w:jc w:val="both"/>
              <w:rPr>
                <w:rFonts w:ascii="Arial" w:hAnsi="Arial" w:cs="Arial"/>
                <w:sz w:val="20"/>
                <w:szCs w:val="20"/>
              </w:rPr>
            </w:pPr>
            <w:r>
              <w:rPr>
                <w:rFonts w:ascii="Arial" w:hAnsi="Arial" w:cs="Arial"/>
                <w:sz w:val="20"/>
                <w:szCs w:val="20"/>
              </w:rPr>
              <w:t>Připomínkující subjekt uvádí</w:t>
            </w:r>
            <w:r w:rsidRPr="00F218A0">
              <w:rPr>
                <w:rFonts w:ascii="Arial" w:hAnsi="Arial" w:cs="Arial"/>
                <w:sz w:val="20"/>
                <w:szCs w:val="20"/>
              </w:rPr>
              <w:t>, že Úřad do mod</w:t>
            </w:r>
            <w:r>
              <w:rPr>
                <w:rFonts w:ascii="Arial" w:hAnsi="Arial" w:cs="Arial"/>
                <w:sz w:val="20"/>
                <w:szCs w:val="20"/>
              </w:rPr>
              <w:t>elu nedostatečně zapracoval jeho</w:t>
            </w:r>
            <w:r w:rsidRPr="00F218A0">
              <w:rPr>
                <w:rFonts w:ascii="Arial" w:hAnsi="Arial" w:cs="Arial"/>
                <w:sz w:val="20"/>
                <w:szCs w:val="20"/>
              </w:rPr>
              <w:t xml:space="preserve"> dřívější připomínku týkající se cenového poklesu OPEX z důvodu navázaní výše </w:t>
            </w:r>
            <w:proofErr w:type="spellStart"/>
            <w:r w:rsidRPr="00F218A0">
              <w:rPr>
                <w:rFonts w:ascii="Arial" w:hAnsi="Arial" w:cs="Arial"/>
                <w:sz w:val="20"/>
                <w:szCs w:val="20"/>
              </w:rPr>
              <w:t>OPEXu</w:t>
            </w:r>
            <w:proofErr w:type="spellEnd"/>
            <w:r w:rsidRPr="00F218A0">
              <w:rPr>
                <w:rFonts w:ascii="Arial" w:hAnsi="Arial" w:cs="Arial"/>
                <w:sz w:val="20"/>
                <w:szCs w:val="20"/>
              </w:rPr>
              <w:t xml:space="preserve"> na klesaj</w:t>
            </w:r>
            <w:r w:rsidR="009672FB">
              <w:rPr>
                <w:rFonts w:ascii="Arial" w:hAnsi="Arial" w:cs="Arial"/>
                <w:sz w:val="20"/>
                <w:szCs w:val="20"/>
              </w:rPr>
              <w:t xml:space="preserve">ící pořizovací ceny </w:t>
            </w:r>
            <w:proofErr w:type="spellStart"/>
            <w:r w:rsidR="009672FB">
              <w:rPr>
                <w:rFonts w:ascii="Arial" w:hAnsi="Arial" w:cs="Arial"/>
                <w:sz w:val="20"/>
                <w:szCs w:val="20"/>
              </w:rPr>
              <w:t>CAPEXu</w:t>
            </w:r>
            <w:proofErr w:type="spellEnd"/>
            <w:r w:rsidR="009672FB">
              <w:rPr>
                <w:rFonts w:ascii="Arial" w:hAnsi="Arial" w:cs="Arial"/>
                <w:sz w:val="20"/>
                <w:szCs w:val="20"/>
              </w:rPr>
              <w:t xml:space="preserve"> a v </w:t>
            </w:r>
            <w:r w:rsidRPr="00F218A0">
              <w:rPr>
                <w:rFonts w:ascii="Arial" w:hAnsi="Arial" w:cs="Arial"/>
                <w:sz w:val="20"/>
                <w:szCs w:val="20"/>
              </w:rPr>
              <w:t>následujících bodech tento svůj názor rozvádí na konkrétních příkladech.</w:t>
            </w:r>
          </w:p>
          <w:p w:rsidR="00F218A0" w:rsidRPr="00F218A0" w:rsidRDefault="00F218A0" w:rsidP="00F218A0">
            <w:pPr>
              <w:spacing w:after="60"/>
              <w:jc w:val="both"/>
              <w:rPr>
                <w:rFonts w:ascii="Arial" w:hAnsi="Arial" w:cs="Arial"/>
                <w:sz w:val="20"/>
                <w:szCs w:val="20"/>
              </w:rPr>
            </w:pPr>
            <w:r w:rsidRPr="00F218A0">
              <w:rPr>
                <w:rFonts w:ascii="Arial" w:hAnsi="Arial" w:cs="Arial"/>
                <w:sz w:val="20"/>
                <w:szCs w:val="20"/>
              </w:rPr>
              <w:t xml:space="preserve">Úřad trvá na tom, že výše uvedenou připomínku do modelu zapracoval plně a jediným správným způsobem. Výpočet OPEX je v modelu navázán na pořizovací cenu zařízení v roce 0 (viz vzorce na listu 11. Anualizace nákladu) a možný trend vývoje OPEX je do kalkulace zakomponován pomocí vstupů 0.18 Inflace OPEX na listu 0. Hlavní vstupy. Další argumentace </w:t>
            </w:r>
            <w:r>
              <w:rPr>
                <w:rFonts w:ascii="Arial" w:hAnsi="Arial" w:cs="Arial"/>
                <w:sz w:val="20"/>
                <w:szCs w:val="20"/>
              </w:rPr>
              <w:t>připomínkujícího subjektu</w:t>
            </w:r>
            <w:r w:rsidRPr="00F218A0">
              <w:rPr>
                <w:rFonts w:ascii="Arial" w:hAnsi="Arial" w:cs="Arial"/>
                <w:sz w:val="20"/>
                <w:szCs w:val="20"/>
              </w:rPr>
              <w:t xml:space="preserve"> k této připomínce je tedy chybná a</w:t>
            </w:r>
            <w:r w:rsidR="009672FB">
              <w:rPr>
                <w:rFonts w:ascii="Arial" w:hAnsi="Arial" w:cs="Arial"/>
                <w:sz w:val="20"/>
                <w:szCs w:val="20"/>
              </w:rPr>
              <w:t> </w:t>
            </w:r>
            <w:r w:rsidRPr="00F218A0">
              <w:rPr>
                <w:rFonts w:ascii="Arial" w:hAnsi="Arial" w:cs="Arial"/>
                <w:sz w:val="20"/>
                <w:szCs w:val="20"/>
              </w:rPr>
              <w:t>irelevantní.</w:t>
            </w:r>
          </w:p>
          <w:p w:rsidR="00F218A0" w:rsidRPr="00F218A0" w:rsidRDefault="00F218A0" w:rsidP="00F218A0">
            <w:pPr>
              <w:spacing w:after="60"/>
              <w:jc w:val="both"/>
              <w:rPr>
                <w:rFonts w:ascii="Arial" w:hAnsi="Arial" w:cs="Arial"/>
                <w:sz w:val="20"/>
                <w:szCs w:val="20"/>
              </w:rPr>
            </w:pPr>
            <w:r>
              <w:rPr>
                <w:rFonts w:ascii="Arial" w:hAnsi="Arial" w:cs="Arial"/>
                <w:sz w:val="20"/>
                <w:szCs w:val="20"/>
              </w:rPr>
              <w:t>Připomínkující subjekt</w:t>
            </w:r>
            <w:r w:rsidRPr="00F218A0">
              <w:rPr>
                <w:rFonts w:ascii="Arial" w:hAnsi="Arial" w:cs="Arial"/>
                <w:sz w:val="20"/>
                <w:szCs w:val="20"/>
              </w:rPr>
              <w:t xml:space="preserve"> dále uvádí následující: „</w:t>
            </w:r>
            <w:r w:rsidRPr="00F218A0">
              <w:rPr>
                <w:rFonts w:ascii="Arial" w:hAnsi="Arial" w:cs="Arial"/>
                <w:i/>
                <w:sz w:val="20"/>
                <w:szCs w:val="20"/>
              </w:rPr>
              <w:t xml:space="preserve">Na druhou stranu je potřeba taky uvést, že možnosti pro </w:t>
            </w:r>
            <w:r w:rsidRPr="00F218A0">
              <w:rPr>
                <w:rFonts w:ascii="Arial" w:hAnsi="Arial" w:cs="Arial"/>
                <w:i/>
                <w:sz w:val="20"/>
                <w:szCs w:val="20"/>
              </w:rPr>
              <w:lastRenderedPageBreak/>
              <w:t>zadání cenových trendů pro OPEX, nejsou v modelu zakomponovány, je možné zadat pouze stav pro jeden (první) rok. Proto je účastníci v modelu neuvedl</w:t>
            </w:r>
            <w:r w:rsidR="00B77C89">
              <w:rPr>
                <w:rFonts w:ascii="Arial" w:hAnsi="Arial" w:cs="Arial"/>
                <w:i/>
                <w:sz w:val="20"/>
                <w:szCs w:val="20"/>
              </w:rPr>
              <w:t>i</w:t>
            </w:r>
            <w:r w:rsidRPr="00F218A0">
              <w:rPr>
                <w:rFonts w:ascii="Arial" w:hAnsi="Arial" w:cs="Arial"/>
                <w:i/>
                <w:sz w:val="20"/>
                <w:szCs w:val="20"/>
              </w:rPr>
              <w:t xml:space="preserve"> a připomínkují tuto skutečnost v řízení.</w:t>
            </w:r>
            <w:r w:rsidRPr="00F218A0">
              <w:rPr>
                <w:rFonts w:ascii="Arial" w:hAnsi="Arial" w:cs="Arial"/>
                <w:sz w:val="20"/>
                <w:szCs w:val="20"/>
              </w:rPr>
              <w:t xml:space="preserve">“ </w:t>
            </w:r>
          </w:p>
          <w:p w:rsidR="00F218A0" w:rsidRPr="00F218A0" w:rsidRDefault="00F218A0" w:rsidP="00F218A0">
            <w:pPr>
              <w:spacing w:after="60"/>
              <w:jc w:val="both"/>
              <w:rPr>
                <w:rFonts w:ascii="Arial" w:hAnsi="Arial" w:cs="Arial"/>
                <w:sz w:val="20"/>
                <w:szCs w:val="20"/>
              </w:rPr>
            </w:pPr>
            <w:r w:rsidRPr="00F218A0">
              <w:rPr>
                <w:rFonts w:ascii="Arial" w:hAnsi="Arial" w:cs="Arial"/>
                <w:sz w:val="20"/>
                <w:szCs w:val="20"/>
              </w:rPr>
              <w:t>Úřad si není zcela jistý významem nejednoznačně naformulovaného textu této připomínky, nicméně zdůrazňuje, že trend vývoje OPEX je v modelu zapracován pod názvem 0.18 Inflace OPEX nejen pro první rok, ale i pro roky 2 a 3 (viz list 0. Hlavní vstupy, vstupy nazvané</w:t>
            </w:r>
            <w:r w:rsidR="009672FB">
              <w:rPr>
                <w:rFonts w:ascii="Arial" w:hAnsi="Arial" w:cs="Arial"/>
                <w:sz w:val="20"/>
                <w:szCs w:val="20"/>
              </w:rPr>
              <w:t xml:space="preserve"> Inflace rok 1, Inflace rok 2 a </w:t>
            </w:r>
            <w:r w:rsidRPr="00F218A0">
              <w:rPr>
                <w:rFonts w:ascii="Arial" w:hAnsi="Arial" w:cs="Arial"/>
                <w:sz w:val="20"/>
                <w:szCs w:val="20"/>
              </w:rPr>
              <w:t xml:space="preserve">Inflace rok 3, buňky E422 až E424). </w:t>
            </w:r>
          </w:p>
          <w:p w:rsidR="00F218A0" w:rsidRPr="00F218A0" w:rsidRDefault="00F218A0" w:rsidP="00F218A0">
            <w:pPr>
              <w:spacing w:after="60"/>
              <w:jc w:val="both"/>
              <w:rPr>
                <w:rFonts w:ascii="Arial" w:hAnsi="Arial" w:cs="Arial"/>
                <w:sz w:val="20"/>
                <w:szCs w:val="20"/>
              </w:rPr>
            </w:pPr>
            <w:r w:rsidRPr="00F218A0">
              <w:rPr>
                <w:rFonts w:ascii="Arial" w:hAnsi="Arial" w:cs="Arial"/>
                <w:sz w:val="20"/>
                <w:szCs w:val="20"/>
              </w:rPr>
              <w:t>Předmětn</w:t>
            </w:r>
            <w:r w:rsidR="009672FB">
              <w:rPr>
                <w:rFonts w:ascii="Arial" w:hAnsi="Arial" w:cs="Arial"/>
                <w:sz w:val="20"/>
                <w:szCs w:val="20"/>
              </w:rPr>
              <w:t>á připomínka je irelevantní i z </w:t>
            </w:r>
            <w:r w:rsidRPr="00F218A0">
              <w:rPr>
                <w:rFonts w:ascii="Arial" w:hAnsi="Arial" w:cs="Arial"/>
                <w:sz w:val="20"/>
                <w:szCs w:val="20"/>
              </w:rPr>
              <w:t xml:space="preserve">toho důvodu, že výpočet ceny terminace byl proveden pro rok 1 (viz list A. Výběr – volba Rok1) a trend vývoje OPEX v letech 2 a 3 tak nemá při této </w:t>
            </w:r>
            <w:r w:rsidR="009672FB">
              <w:rPr>
                <w:rFonts w:ascii="Arial" w:hAnsi="Arial" w:cs="Arial"/>
                <w:sz w:val="20"/>
                <w:szCs w:val="20"/>
              </w:rPr>
              <w:t>volbě na výsledek žádný vliv (a </w:t>
            </w:r>
            <w:r w:rsidRPr="00F218A0">
              <w:rPr>
                <w:rFonts w:ascii="Arial" w:hAnsi="Arial" w:cs="Arial"/>
                <w:sz w:val="20"/>
                <w:szCs w:val="20"/>
              </w:rPr>
              <w:t>t</w:t>
            </w:r>
            <w:r w:rsidR="009672FB">
              <w:rPr>
                <w:rFonts w:ascii="Arial" w:hAnsi="Arial" w:cs="Arial"/>
                <w:sz w:val="20"/>
                <w:szCs w:val="20"/>
              </w:rPr>
              <w:t>o i když je trend vývoje OPEX v </w:t>
            </w:r>
            <w:r w:rsidRPr="00F218A0">
              <w:rPr>
                <w:rFonts w:ascii="Arial" w:hAnsi="Arial" w:cs="Arial"/>
                <w:sz w:val="20"/>
                <w:szCs w:val="20"/>
              </w:rPr>
              <w:t>letech 2 a 3 v modelu vyplněn, jak bylo uvedeno v předchozím odstavci).</w:t>
            </w:r>
          </w:p>
          <w:p w:rsidR="00F218A0" w:rsidRPr="00F218A0" w:rsidRDefault="00F218A0" w:rsidP="00F218A0">
            <w:pPr>
              <w:spacing w:after="60"/>
              <w:jc w:val="both"/>
              <w:rPr>
                <w:rFonts w:ascii="Arial" w:hAnsi="Arial" w:cs="Arial"/>
                <w:sz w:val="20"/>
                <w:szCs w:val="20"/>
              </w:rPr>
            </w:pPr>
            <w:r w:rsidRPr="00F218A0">
              <w:rPr>
                <w:rFonts w:ascii="Arial" w:hAnsi="Arial" w:cs="Arial"/>
                <w:sz w:val="20"/>
                <w:szCs w:val="20"/>
              </w:rPr>
              <w:t xml:space="preserve">Podle </w:t>
            </w:r>
            <w:r>
              <w:rPr>
                <w:rFonts w:ascii="Arial" w:hAnsi="Arial" w:cs="Arial"/>
                <w:sz w:val="20"/>
                <w:szCs w:val="20"/>
              </w:rPr>
              <w:t>připomínkujícího subjektu</w:t>
            </w:r>
            <w:r w:rsidRPr="00F218A0">
              <w:rPr>
                <w:rFonts w:ascii="Arial" w:hAnsi="Arial" w:cs="Arial"/>
                <w:sz w:val="20"/>
                <w:szCs w:val="20"/>
              </w:rPr>
              <w:t xml:space="preserve"> dále Úřad používá snižování stavu zaměstnanců (které bylo vynucené situací na trhu) a s tím související pokles OPEX jako argument pro</w:t>
            </w:r>
            <w:r w:rsidR="009672FB">
              <w:rPr>
                <w:rFonts w:ascii="Arial" w:hAnsi="Arial" w:cs="Arial"/>
                <w:sz w:val="20"/>
                <w:szCs w:val="20"/>
              </w:rPr>
              <w:t xml:space="preserve"> obhajobu parametrických změn v </w:t>
            </w:r>
            <w:r w:rsidRPr="00F218A0">
              <w:rPr>
                <w:rFonts w:ascii="Arial" w:hAnsi="Arial" w:cs="Arial"/>
                <w:sz w:val="20"/>
                <w:szCs w:val="20"/>
              </w:rPr>
              <w:t>modelu.</w:t>
            </w:r>
          </w:p>
          <w:p w:rsidR="00F218A0" w:rsidRPr="000E349D" w:rsidRDefault="00F218A0" w:rsidP="00F218A0">
            <w:pPr>
              <w:spacing w:after="60"/>
              <w:jc w:val="both"/>
              <w:rPr>
                <w:rFonts w:ascii="Arial" w:hAnsi="Arial" w:cs="Arial"/>
                <w:sz w:val="20"/>
                <w:szCs w:val="20"/>
              </w:rPr>
            </w:pPr>
            <w:r w:rsidRPr="00F218A0">
              <w:rPr>
                <w:rFonts w:ascii="Arial" w:hAnsi="Arial" w:cs="Arial"/>
                <w:sz w:val="20"/>
                <w:szCs w:val="20"/>
              </w:rPr>
              <w:t xml:space="preserve">Výše uvedené tvrzení </w:t>
            </w:r>
            <w:r>
              <w:rPr>
                <w:rFonts w:ascii="Arial" w:hAnsi="Arial" w:cs="Arial"/>
                <w:sz w:val="20"/>
                <w:szCs w:val="20"/>
              </w:rPr>
              <w:t>připomínkujícího subjektu</w:t>
            </w:r>
            <w:r w:rsidRPr="00F218A0">
              <w:rPr>
                <w:rFonts w:ascii="Arial" w:hAnsi="Arial" w:cs="Arial"/>
                <w:sz w:val="20"/>
                <w:szCs w:val="20"/>
              </w:rPr>
              <w:t xml:space="preserve"> je</w:t>
            </w:r>
            <w:r>
              <w:rPr>
                <w:rFonts w:ascii="Arial" w:hAnsi="Arial" w:cs="Arial"/>
                <w:sz w:val="20"/>
                <w:szCs w:val="20"/>
              </w:rPr>
              <w:t xml:space="preserve"> ovšem</w:t>
            </w:r>
            <w:r w:rsidRPr="00F218A0">
              <w:rPr>
                <w:rFonts w:ascii="Arial" w:hAnsi="Arial" w:cs="Arial"/>
                <w:sz w:val="20"/>
                <w:szCs w:val="20"/>
              </w:rPr>
              <w:t xml:space="preserve"> zavádějící. Úřad pouze na příkladu skutečně probíhajícího snižování stavu zaměstnanců a s ním souvisejícího poklesu mzdových nákladů jako součásti OPEX ukázal</w:t>
            </w:r>
            <w:r>
              <w:rPr>
                <w:rFonts w:ascii="Arial" w:hAnsi="Arial" w:cs="Arial"/>
                <w:sz w:val="20"/>
                <w:szCs w:val="20"/>
              </w:rPr>
              <w:t xml:space="preserve"> (viz řádky 613-</w:t>
            </w:r>
            <w:r>
              <w:rPr>
                <w:rFonts w:ascii="Arial" w:hAnsi="Arial" w:cs="Arial"/>
                <w:sz w:val="20"/>
                <w:szCs w:val="20"/>
              </w:rPr>
              <w:lastRenderedPageBreak/>
              <w:t>619 v návrhu rozhodnutí pro spo</w:t>
            </w:r>
            <w:r w:rsidR="00096E8A">
              <w:rPr>
                <w:rFonts w:ascii="Arial" w:hAnsi="Arial" w:cs="Arial"/>
                <w:sz w:val="20"/>
                <w:szCs w:val="20"/>
              </w:rPr>
              <w:t>lečnost Vodafone Czech Republic</w:t>
            </w:r>
            <w:r>
              <w:rPr>
                <w:rFonts w:ascii="Arial" w:hAnsi="Arial" w:cs="Arial"/>
                <w:sz w:val="20"/>
                <w:szCs w:val="20"/>
              </w:rPr>
              <w:t xml:space="preserve"> a.s.)</w:t>
            </w:r>
            <w:r w:rsidRPr="00F218A0">
              <w:rPr>
                <w:rFonts w:ascii="Arial" w:hAnsi="Arial" w:cs="Arial"/>
                <w:sz w:val="20"/>
                <w:szCs w:val="20"/>
              </w:rPr>
              <w:t xml:space="preserve"> nesprávnost tvrzení </w:t>
            </w:r>
            <w:r w:rsidR="00096E8A">
              <w:rPr>
                <w:rFonts w:ascii="Arial" w:hAnsi="Arial" w:cs="Arial"/>
                <w:sz w:val="20"/>
                <w:szCs w:val="20"/>
              </w:rPr>
              <w:t>(</w:t>
            </w:r>
            <w:r w:rsidRPr="00F218A0">
              <w:rPr>
                <w:rFonts w:ascii="Arial" w:hAnsi="Arial" w:cs="Arial"/>
                <w:sz w:val="20"/>
                <w:szCs w:val="20"/>
              </w:rPr>
              <w:t>společnosti Vodafone</w:t>
            </w:r>
            <w:r w:rsidR="00096E8A">
              <w:rPr>
                <w:rFonts w:ascii="Arial" w:hAnsi="Arial" w:cs="Arial"/>
                <w:sz w:val="20"/>
                <w:szCs w:val="20"/>
              </w:rPr>
              <w:t xml:space="preserve"> Czech Republic a.s.)</w:t>
            </w:r>
            <w:r w:rsidRPr="00F218A0">
              <w:rPr>
                <w:rFonts w:ascii="Arial" w:hAnsi="Arial" w:cs="Arial"/>
                <w:sz w:val="20"/>
                <w:szCs w:val="20"/>
              </w:rPr>
              <w:t>, že výš</w:t>
            </w:r>
            <w:r w:rsidR="009672FB">
              <w:rPr>
                <w:rFonts w:ascii="Arial" w:hAnsi="Arial" w:cs="Arial"/>
                <w:sz w:val="20"/>
                <w:szCs w:val="20"/>
              </w:rPr>
              <w:t>e nákladů OPEX v čase neklesá a </w:t>
            </w:r>
            <w:r w:rsidRPr="00F218A0">
              <w:rPr>
                <w:rFonts w:ascii="Arial" w:hAnsi="Arial" w:cs="Arial"/>
                <w:sz w:val="20"/>
                <w:szCs w:val="20"/>
              </w:rPr>
              <w:t>vždy roste.</w:t>
            </w:r>
          </w:p>
        </w:tc>
      </w:tr>
      <w:tr w:rsidR="00BC2A4D" w:rsidRPr="00EC6451" w:rsidTr="005374B2">
        <w:tc>
          <w:tcPr>
            <w:tcW w:w="0" w:type="auto"/>
          </w:tcPr>
          <w:p w:rsidR="005374B2" w:rsidRPr="00E63BB4" w:rsidRDefault="005374B2" w:rsidP="00776349">
            <w:pPr>
              <w:spacing w:after="60"/>
              <w:rPr>
                <w:rFonts w:ascii="Arial" w:hAnsi="Arial" w:cs="Arial"/>
                <w:sz w:val="20"/>
                <w:szCs w:val="20"/>
              </w:rPr>
            </w:pPr>
            <w:r>
              <w:rPr>
                <w:rFonts w:ascii="Arial" w:hAnsi="Arial" w:cs="Arial"/>
                <w:sz w:val="20"/>
                <w:szCs w:val="20"/>
              </w:rPr>
              <w:lastRenderedPageBreak/>
              <w:t>Obecná poznámka</w:t>
            </w:r>
          </w:p>
        </w:tc>
        <w:tc>
          <w:tcPr>
            <w:tcW w:w="0" w:type="auto"/>
          </w:tcPr>
          <w:p w:rsidR="005374B2" w:rsidRPr="00E63BB4" w:rsidRDefault="005374B2" w:rsidP="00776349">
            <w:pPr>
              <w:spacing w:after="60"/>
              <w:rPr>
                <w:rFonts w:ascii="Arial" w:hAnsi="Arial" w:cs="Arial"/>
                <w:sz w:val="20"/>
                <w:szCs w:val="20"/>
              </w:rPr>
            </w:pPr>
          </w:p>
        </w:tc>
        <w:tc>
          <w:tcPr>
            <w:tcW w:w="0" w:type="auto"/>
          </w:tcPr>
          <w:p w:rsidR="005374B2" w:rsidRDefault="005374B2" w:rsidP="00776349">
            <w:pPr>
              <w:spacing w:after="60"/>
              <w:rPr>
                <w:rFonts w:ascii="Arial" w:hAnsi="Arial" w:cs="Arial"/>
                <w:sz w:val="20"/>
                <w:szCs w:val="20"/>
              </w:rPr>
            </w:pPr>
            <w:r>
              <w:rPr>
                <w:rFonts w:ascii="Arial" w:hAnsi="Arial" w:cs="Arial"/>
                <w:sz w:val="20"/>
                <w:szCs w:val="20"/>
              </w:rPr>
              <w:t>Vodafone Czech Republic a.s. (10)</w:t>
            </w:r>
          </w:p>
        </w:tc>
        <w:tc>
          <w:tcPr>
            <w:tcW w:w="0" w:type="auto"/>
          </w:tcPr>
          <w:p w:rsidR="00523F95" w:rsidRDefault="005374B2" w:rsidP="00523F95">
            <w:pPr>
              <w:autoSpaceDE w:val="0"/>
              <w:autoSpaceDN w:val="0"/>
              <w:adjustRightInd w:val="0"/>
              <w:jc w:val="both"/>
              <w:rPr>
                <w:rFonts w:ascii="Arial" w:hAnsi="Arial" w:cs="Arial"/>
                <w:iCs/>
                <w:sz w:val="20"/>
                <w:szCs w:val="20"/>
              </w:rPr>
            </w:pPr>
            <w:r>
              <w:rPr>
                <w:rFonts w:ascii="Arial" w:hAnsi="Arial" w:cs="Arial"/>
                <w:iCs/>
                <w:sz w:val="20"/>
                <w:szCs w:val="20"/>
              </w:rPr>
              <w:t xml:space="preserve">V další své připomínce </w:t>
            </w:r>
            <w:r w:rsidR="00742BDE">
              <w:rPr>
                <w:rFonts w:ascii="Arial" w:hAnsi="Arial" w:cs="Arial"/>
                <w:iCs/>
                <w:sz w:val="20"/>
                <w:szCs w:val="20"/>
              </w:rPr>
              <w:t>připomínkující subjekt uvedl, že</w:t>
            </w:r>
            <w:r>
              <w:rPr>
                <w:rFonts w:ascii="Arial" w:hAnsi="Arial" w:cs="Arial"/>
                <w:iCs/>
                <w:sz w:val="20"/>
                <w:szCs w:val="20"/>
              </w:rPr>
              <w:t xml:space="preserve"> považuje použití modelu „</w:t>
            </w:r>
            <w:proofErr w:type="spellStart"/>
            <w:r>
              <w:rPr>
                <w:rFonts w:ascii="Arial" w:hAnsi="Arial" w:cs="Arial"/>
                <w:iCs/>
                <w:sz w:val="20"/>
                <w:szCs w:val="20"/>
              </w:rPr>
              <w:t>pure</w:t>
            </w:r>
            <w:proofErr w:type="spellEnd"/>
            <w:r>
              <w:rPr>
                <w:rFonts w:ascii="Arial" w:hAnsi="Arial" w:cs="Arial"/>
                <w:iCs/>
                <w:sz w:val="20"/>
                <w:szCs w:val="20"/>
              </w:rPr>
              <w:t xml:space="preserve">“ LRIC za problematické ve vztahu k požadavkům zejm. § 56 Zákona, kdy v reálném světě nelze stavět síť ideálně s teoreticky nejnižšími náklady, a to ani v případě, pokud by daný MNO vyvinul maximální snahu, resp. by toho bylo možné dosáhnout při splnění řady předpokladů, které ve svém souhrnu nejsou </w:t>
            </w:r>
            <w:r w:rsidR="00742BDE">
              <w:rPr>
                <w:rFonts w:ascii="Arial" w:hAnsi="Arial" w:cs="Arial"/>
                <w:iCs/>
                <w:sz w:val="20"/>
                <w:szCs w:val="20"/>
              </w:rPr>
              <w:t>celkově</w:t>
            </w:r>
            <w:r>
              <w:rPr>
                <w:rFonts w:ascii="Arial" w:hAnsi="Arial" w:cs="Arial"/>
                <w:iCs/>
                <w:sz w:val="20"/>
                <w:szCs w:val="20"/>
              </w:rPr>
              <w:t xml:space="preserve"> reálné.</w:t>
            </w:r>
          </w:p>
          <w:p w:rsidR="00523F95" w:rsidRDefault="00523F95" w:rsidP="00523F95">
            <w:pPr>
              <w:autoSpaceDE w:val="0"/>
              <w:autoSpaceDN w:val="0"/>
              <w:adjustRightInd w:val="0"/>
              <w:jc w:val="both"/>
              <w:rPr>
                <w:rFonts w:ascii="Arial" w:hAnsi="Arial" w:cs="Arial"/>
                <w:iCs/>
                <w:sz w:val="20"/>
                <w:szCs w:val="20"/>
              </w:rPr>
            </w:pPr>
            <w:r>
              <w:rPr>
                <w:rFonts w:ascii="Arial" w:hAnsi="Arial" w:cs="Arial"/>
                <w:iCs/>
                <w:sz w:val="20"/>
                <w:szCs w:val="20"/>
              </w:rPr>
              <w:t xml:space="preserve">Použitý model podle připomínkujícího subjektu v některých případech popsaných v předchozím vyjádření obsahuje tak extrémní zjednodušení, že se tak dostává do rozporu s rozumnými předpoklady. Jako příklad uvedl připomínkující subjekt, že dle modelu by podstatná část základnových stanic </w:t>
            </w:r>
            <w:proofErr w:type="gramStart"/>
            <w:r>
              <w:rPr>
                <w:rFonts w:ascii="Arial" w:hAnsi="Arial" w:cs="Arial"/>
                <w:iCs/>
                <w:sz w:val="20"/>
                <w:szCs w:val="20"/>
              </w:rPr>
              <w:t>byla 1-sektorová</w:t>
            </w:r>
            <w:proofErr w:type="gramEnd"/>
            <w:r>
              <w:rPr>
                <w:rFonts w:ascii="Arial" w:hAnsi="Arial" w:cs="Arial"/>
                <w:iCs/>
                <w:sz w:val="20"/>
                <w:szCs w:val="20"/>
              </w:rPr>
              <w:t xml:space="preserve"> až 2-sektorových (3 616 základnových stanic vs. 6 055 sektorů, tj. průměrně 1,7sektoru na jednu základnovou stanici). Tomu však skutečnost neodpovídá a např. u připomínkujícího subjektu je většina základnových stanic </w:t>
            </w:r>
            <w:r w:rsidR="008D1014" w:rsidRPr="008D1014">
              <w:rPr>
                <w:rFonts w:ascii="Arial" w:hAnsi="Arial" w:cs="Arial"/>
                <w:iCs/>
                <w:sz w:val="20"/>
                <w:szCs w:val="20"/>
                <w:highlight w:val="black"/>
              </w:rPr>
              <w:t>XXX</w:t>
            </w:r>
            <w:r>
              <w:rPr>
                <w:rFonts w:ascii="Arial" w:hAnsi="Arial" w:cs="Arial"/>
                <w:iCs/>
                <w:sz w:val="20"/>
                <w:szCs w:val="20"/>
              </w:rPr>
              <w:t>. Podle připom</w:t>
            </w:r>
            <w:r w:rsidR="009672FB">
              <w:rPr>
                <w:rFonts w:ascii="Arial" w:hAnsi="Arial" w:cs="Arial"/>
                <w:iCs/>
                <w:sz w:val="20"/>
                <w:szCs w:val="20"/>
              </w:rPr>
              <w:t>ínkujícího subjektu je rovněž i </w:t>
            </w:r>
            <w:r>
              <w:rPr>
                <w:rFonts w:ascii="Arial" w:hAnsi="Arial" w:cs="Arial"/>
                <w:iCs/>
                <w:sz w:val="20"/>
                <w:szCs w:val="20"/>
              </w:rPr>
              <w:t>celkový počet BTS dle modelu nižší, než je u kteréhokoliv ze současných operátorů.</w:t>
            </w:r>
          </w:p>
          <w:p w:rsidR="005374B2" w:rsidRPr="00890169" w:rsidRDefault="00742BDE" w:rsidP="00523F95">
            <w:pPr>
              <w:autoSpaceDE w:val="0"/>
              <w:autoSpaceDN w:val="0"/>
              <w:adjustRightInd w:val="0"/>
              <w:jc w:val="both"/>
              <w:rPr>
                <w:rFonts w:ascii="Arial" w:hAnsi="Arial" w:cs="Arial"/>
                <w:iCs/>
                <w:sz w:val="20"/>
                <w:szCs w:val="20"/>
              </w:rPr>
            </w:pPr>
            <w:r>
              <w:rPr>
                <w:rFonts w:ascii="Arial" w:hAnsi="Arial" w:cs="Arial"/>
                <w:iCs/>
                <w:sz w:val="20"/>
                <w:szCs w:val="20"/>
              </w:rPr>
              <w:t>Úřad</w:t>
            </w:r>
            <w:r w:rsidR="005374B2">
              <w:rPr>
                <w:rFonts w:ascii="Arial" w:hAnsi="Arial" w:cs="Arial"/>
                <w:iCs/>
                <w:sz w:val="20"/>
                <w:szCs w:val="20"/>
              </w:rPr>
              <w:t xml:space="preserve"> by měl věnovat důkladnou kontrolu modelované sítě teoretického </w:t>
            </w:r>
            <w:r w:rsidR="005374B2">
              <w:rPr>
                <w:rFonts w:ascii="Arial" w:hAnsi="Arial" w:cs="Arial"/>
                <w:iCs/>
                <w:sz w:val="20"/>
                <w:szCs w:val="20"/>
              </w:rPr>
              <w:lastRenderedPageBreak/>
              <w:t>efektivního operátora a případné odlišnosti takto namodelované teoretické sítě od reálných sítí jednotlivých operátorů na trhu řádně zdůvodnit, případně upravit parametry v modelu tak, aby modelovaná síť odpovídala realitě.</w:t>
            </w:r>
          </w:p>
        </w:tc>
        <w:tc>
          <w:tcPr>
            <w:tcW w:w="0" w:type="auto"/>
          </w:tcPr>
          <w:p w:rsidR="005374B2" w:rsidRDefault="005374B2" w:rsidP="00776349">
            <w:pPr>
              <w:spacing w:after="60"/>
              <w:jc w:val="both"/>
              <w:rPr>
                <w:rFonts w:ascii="Arial" w:hAnsi="Arial" w:cs="Arial"/>
                <w:sz w:val="20"/>
                <w:szCs w:val="20"/>
              </w:rPr>
            </w:pPr>
            <w:r>
              <w:rPr>
                <w:rFonts w:ascii="Arial" w:hAnsi="Arial" w:cs="Arial"/>
                <w:sz w:val="20"/>
                <w:szCs w:val="20"/>
              </w:rPr>
              <w:lastRenderedPageBreak/>
              <w:t>Neakceptováno</w:t>
            </w:r>
          </w:p>
          <w:p w:rsidR="00096E8A" w:rsidRPr="00096E8A" w:rsidRDefault="00096E8A" w:rsidP="00096E8A">
            <w:pPr>
              <w:spacing w:after="60"/>
              <w:jc w:val="both"/>
              <w:rPr>
                <w:rFonts w:ascii="Arial" w:hAnsi="Arial" w:cs="Arial"/>
                <w:sz w:val="20"/>
                <w:szCs w:val="20"/>
              </w:rPr>
            </w:pPr>
            <w:r>
              <w:rPr>
                <w:rFonts w:ascii="Arial" w:hAnsi="Arial" w:cs="Arial"/>
                <w:sz w:val="20"/>
                <w:szCs w:val="20"/>
              </w:rPr>
              <w:t>Připomínkující subjekt</w:t>
            </w:r>
            <w:r w:rsidRPr="00096E8A">
              <w:rPr>
                <w:rFonts w:ascii="Arial" w:hAnsi="Arial" w:cs="Arial"/>
                <w:sz w:val="20"/>
                <w:szCs w:val="20"/>
              </w:rPr>
              <w:t xml:space="preserve"> v této části svých připomínek napadá samotnou metodu výpočtu s využitím modelu teoretického efektivního operátora jako metody výpočtu nákladů pro stanovení ceny regulované služby.</w:t>
            </w:r>
            <w:r>
              <w:rPr>
                <w:rFonts w:ascii="Arial" w:hAnsi="Arial" w:cs="Arial"/>
                <w:sz w:val="20"/>
                <w:szCs w:val="20"/>
              </w:rPr>
              <w:t xml:space="preserve"> Nad rámec zdůvodnění pr</w:t>
            </w:r>
            <w:r w:rsidR="0068161A">
              <w:rPr>
                <w:rFonts w:ascii="Arial" w:hAnsi="Arial" w:cs="Arial"/>
                <w:sz w:val="20"/>
                <w:szCs w:val="20"/>
              </w:rPr>
              <w:t>o výběr této metody obsažené</w:t>
            </w:r>
            <w:r>
              <w:rPr>
                <w:rFonts w:ascii="Arial" w:hAnsi="Arial" w:cs="Arial"/>
                <w:sz w:val="20"/>
                <w:szCs w:val="20"/>
              </w:rPr>
              <w:t xml:space="preserve"> jak </w:t>
            </w:r>
            <w:r w:rsidR="0068161A">
              <w:rPr>
                <w:rFonts w:ascii="Arial" w:hAnsi="Arial" w:cs="Arial"/>
                <w:sz w:val="20"/>
                <w:szCs w:val="20"/>
              </w:rPr>
              <w:t xml:space="preserve">již </w:t>
            </w:r>
            <w:r w:rsidR="009672FB">
              <w:rPr>
                <w:rFonts w:ascii="Arial" w:hAnsi="Arial" w:cs="Arial"/>
                <w:sz w:val="20"/>
                <w:szCs w:val="20"/>
              </w:rPr>
              <w:t>v návrhu rozhodnutí o </w:t>
            </w:r>
            <w:r>
              <w:rPr>
                <w:rFonts w:ascii="Arial" w:hAnsi="Arial" w:cs="Arial"/>
                <w:sz w:val="20"/>
                <w:szCs w:val="20"/>
              </w:rPr>
              <w:t>ceně, tak i</w:t>
            </w:r>
            <w:r w:rsidR="0068161A">
              <w:rPr>
                <w:rFonts w:ascii="Arial" w:hAnsi="Arial" w:cs="Arial"/>
                <w:sz w:val="20"/>
                <w:szCs w:val="20"/>
              </w:rPr>
              <w:t xml:space="preserve"> ve výše uvedeném vypořádání připomínek (viz zejména vypořádání připomínek č. 2, 3 a 5) Úřad uvádí, že p</w:t>
            </w:r>
            <w:r w:rsidRPr="00096E8A">
              <w:rPr>
                <w:rFonts w:ascii="Arial" w:hAnsi="Arial" w:cs="Arial"/>
                <w:sz w:val="20"/>
                <w:szCs w:val="20"/>
              </w:rPr>
              <w:t xml:space="preserve">řístup s využitím modelu teoretického efektivního operátora je ve světové regulační praxi doporučovaným přístupem (takzvaný </w:t>
            </w:r>
            <w:proofErr w:type="spellStart"/>
            <w:r w:rsidRPr="00096E8A">
              <w:rPr>
                <w:rFonts w:ascii="Arial" w:hAnsi="Arial" w:cs="Arial"/>
                <w:sz w:val="20"/>
                <w:szCs w:val="20"/>
              </w:rPr>
              <w:t>best</w:t>
            </w:r>
            <w:proofErr w:type="spellEnd"/>
            <w:r w:rsidRPr="00096E8A">
              <w:rPr>
                <w:rFonts w:ascii="Arial" w:hAnsi="Arial" w:cs="Arial"/>
                <w:sz w:val="20"/>
                <w:szCs w:val="20"/>
              </w:rPr>
              <w:t xml:space="preserve"> </w:t>
            </w:r>
            <w:proofErr w:type="spellStart"/>
            <w:r w:rsidR="0068161A">
              <w:rPr>
                <w:rFonts w:ascii="Arial" w:hAnsi="Arial" w:cs="Arial"/>
                <w:sz w:val="20"/>
                <w:szCs w:val="20"/>
              </w:rPr>
              <w:t>practise</w:t>
            </w:r>
            <w:proofErr w:type="spellEnd"/>
            <w:r w:rsidR="0068161A">
              <w:rPr>
                <w:rFonts w:ascii="Arial" w:hAnsi="Arial" w:cs="Arial"/>
                <w:sz w:val="20"/>
                <w:szCs w:val="20"/>
              </w:rPr>
              <w:t>) a koneckonců i samotný připomínkující subjekt</w:t>
            </w:r>
            <w:r w:rsidRPr="00096E8A">
              <w:rPr>
                <w:rFonts w:ascii="Arial" w:hAnsi="Arial" w:cs="Arial"/>
                <w:sz w:val="20"/>
                <w:szCs w:val="20"/>
              </w:rPr>
              <w:t xml:space="preserve"> </w:t>
            </w:r>
            <w:r w:rsidR="0068161A">
              <w:rPr>
                <w:rFonts w:ascii="Arial" w:hAnsi="Arial" w:cs="Arial"/>
                <w:sz w:val="20"/>
                <w:szCs w:val="20"/>
              </w:rPr>
              <w:t>byl</w:t>
            </w:r>
            <w:r w:rsidRPr="00096E8A">
              <w:rPr>
                <w:rFonts w:ascii="Arial" w:hAnsi="Arial" w:cs="Arial"/>
                <w:sz w:val="20"/>
                <w:szCs w:val="20"/>
              </w:rPr>
              <w:t xml:space="preserve"> na prvním workshopu ještě před zah</w:t>
            </w:r>
            <w:r w:rsidR="0068161A">
              <w:rPr>
                <w:rFonts w:ascii="Arial" w:hAnsi="Arial" w:cs="Arial"/>
                <w:sz w:val="20"/>
                <w:szCs w:val="20"/>
              </w:rPr>
              <w:t>ájením prací na modelu seznámen</w:t>
            </w:r>
            <w:r w:rsidRPr="00096E8A">
              <w:rPr>
                <w:rFonts w:ascii="Arial" w:hAnsi="Arial" w:cs="Arial"/>
                <w:sz w:val="20"/>
                <w:szCs w:val="20"/>
              </w:rPr>
              <w:t xml:space="preserve"> se záměrem Úřadu tento přístup použít, aniž by</w:t>
            </w:r>
            <w:r w:rsidR="00CB1592">
              <w:rPr>
                <w:rFonts w:ascii="Arial" w:hAnsi="Arial" w:cs="Arial"/>
                <w:sz w:val="20"/>
                <w:szCs w:val="20"/>
              </w:rPr>
              <w:t xml:space="preserve"> tento záměr jakkoli rozporoval</w:t>
            </w:r>
            <w:r w:rsidRPr="00096E8A">
              <w:rPr>
                <w:rFonts w:ascii="Arial" w:hAnsi="Arial" w:cs="Arial"/>
                <w:sz w:val="20"/>
                <w:szCs w:val="20"/>
              </w:rPr>
              <w:t>.</w:t>
            </w:r>
          </w:p>
          <w:p w:rsidR="00096E8A" w:rsidRPr="00096E8A" w:rsidRDefault="00096E8A" w:rsidP="00096E8A">
            <w:pPr>
              <w:spacing w:after="60"/>
              <w:jc w:val="both"/>
              <w:rPr>
                <w:rFonts w:ascii="Arial" w:hAnsi="Arial" w:cs="Arial"/>
                <w:sz w:val="20"/>
                <w:szCs w:val="20"/>
              </w:rPr>
            </w:pPr>
            <w:r w:rsidRPr="00096E8A">
              <w:rPr>
                <w:rFonts w:ascii="Arial" w:hAnsi="Arial" w:cs="Arial"/>
                <w:sz w:val="20"/>
                <w:szCs w:val="20"/>
              </w:rPr>
              <w:t>Teoretický efektivní operátor používá t</w:t>
            </w:r>
            <w:r w:rsidR="009672FB">
              <w:rPr>
                <w:rFonts w:ascii="Arial" w:hAnsi="Arial" w:cs="Arial"/>
                <w:sz w:val="20"/>
                <w:szCs w:val="20"/>
              </w:rPr>
              <w:t>akový přístup k budování sítě a </w:t>
            </w:r>
            <w:r w:rsidRPr="00096E8A">
              <w:rPr>
                <w:rFonts w:ascii="Arial" w:hAnsi="Arial" w:cs="Arial"/>
                <w:sz w:val="20"/>
                <w:szCs w:val="20"/>
              </w:rPr>
              <w:t xml:space="preserve">pořizování příslušných síťových prvků a zařízení, který optimalizuje jeho celkové náklady. Model, který kalkuluje náklady teoretického efektivního operátora, vychází z reálných předpokladů (poptávka, kapacitní parametry zařízení, inženýrská pravidla pro </w:t>
            </w:r>
            <w:proofErr w:type="spellStart"/>
            <w:r w:rsidRPr="00096E8A">
              <w:rPr>
                <w:rFonts w:ascii="Arial" w:hAnsi="Arial" w:cs="Arial"/>
                <w:sz w:val="20"/>
                <w:szCs w:val="20"/>
              </w:rPr>
              <w:t>dimenzaci</w:t>
            </w:r>
            <w:proofErr w:type="spellEnd"/>
            <w:r w:rsidRPr="00096E8A">
              <w:rPr>
                <w:rFonts w:ascii="Arial" w:hAnsi="Arial" w:cs="Arial"/>
                <w:sz w:val="20"/>
                <w:szCs w:val="20"/>
              </w:rPr>
              <w:t xml:space="preserve"> sítí atd.), ale </w:t>
            </w:r>
            <w:r w:rsidRPr="00096E8A">
              <w:rPr>
                <w:rFonts w:ascii="Arial" w:hAnsi="Arial" w:cs="Arial"/>
                <w:sz w:val="20"/>
                <w:szCs w:val="20"/>
              </w:rPr>
              <w:lastRenderedPageBreak/>
              <w:t>samozřejmě jako každý model musí použít jistá zjednodušení, aby dosáhl rozumné úrovně detailu. Stanovit tuto úro</w:t>
            </w:r>
            <w:r w:rsidR="009672FB">
              <w:rPr>
                <w:rFonts w:ascii="Arial" w:hAnsi="Arial" w:cs="Arial"/>
                <w:sz w:val="20"/>
                <w:szCs w:val="20"/>
              </w:rPr>
              <w:t>veň detailu je důležité nejen s </w:t>
            </w:r>
            <w:r w:rsidRPr="00096E8A">
              <w:rPr>
                <w:rFonts w:ascii="Arial" w:hAnsi="Arial" w:cs="Arial"/>
                <w:sz w:val="20"/>
                <w:szCs w:val="20"/>
              </w:rPr>
              <w:t>ohledem na únosnou míru komplexnosti modelu (např. není vho</w:t>
            </w:r>
            <w:r w:rsidR="009672FB">
              <w:rPr>
                <w:rFonts w:ascii="Arial" w:hAnsi="Arial" w:cs="Arial"/>
                <w:sz w:val="20"/>
                <w:szCs w:val="20"/>
              </w:rPr>
              <w:t>dné modelovat všechny procesy a </w:t>
            </w:r>
            <w:r w:rsidRPr="00096E8A">
              <w:rPr>
                <w:rFonts w:ascii="Arial" w:hAnsi="Arial" w:cs="Arial"/>
                <w:sz w:val="20"/>
                <w:szCs w:val="20"/>
              </w:rPr>
              <w:t>proměnné, protože některé z nich mají zanedbatelný vliv na výsledek – model by se s jejich použitím stal zbytečně složitým), ale také s ohledem na to, aby operátoři, kteří mají následně dodat vstupy pro naplnění finálního modelu, nebyli sběrem těchto vstupů neúměrně zatěžováni.</w:t>
            </w:r>
          </w:p>
          <w:p w:rsidR="00096E8A" w:rsidRPr="00096E8A" w:rsidRDefault="00096E8A" w:rsidP="00096E8A">
            <w:pPr>
              <w:spacing w:after="60"/>
              <w:jc w:val="both"/>
              <w:rPr>
                <w:rFonts w:ascii="Arial" w:hAnsi="Arial" w:cs="Arial"/>
                <w:sz w:val="20"/>
                <w:szCs w:val="20"/>
              </w:rPr>
            </w:pPr>
            <w:r w:rsidRPr="00096E8A">
              <w:rPr>
                <w:rFonts w:ascii="Arial" w:hAnsi="Arial" w:cs="Arial"/>
                <w:sz w:val="20"/>
                <w:szCs w:val="20"/>
              </w:rPr>
              <w:t>Z výše uvedených důvodů vytvářel Úřad model pro výpočet cen</w:t>
            </w:r>
            <w:r w:rsidR="009672FB">
              <w:rPr>
                <w:rFonts w:ascii="Arial" w:hAnsi="Arial" w:cs="Arial"/>
                <w:sz w:val="20"/>
                <w:szCs w:val="20"/>
              </w:rPr>
              <w:t>y terminace v úzké spolupráci s </w:t>
            </w:r>
            <w:r w:rsidRPr="00096E8A">
              <w:rPr>
                <w:rFonts w:ascii="Arial" w:hAnsi="Arial" w:cs="Arial"/>
                <w:sz w:val="20"/>
                <w:szCs w:val="20"/>
              </w:rPr>
              <w:t xml:space="preserve">odbornou veřejností, zejména pak se zástupci všech tří dotčených mobilních operátorů, </w:t>
            </w:r>
            <w:r w:rsidR="0068161A">
              <w:rPr>
                <w:rFonts w:ascii="Arial" w:hAnsi="Arial" w:cs="Arial"/>
                <w:sz w:val="20"/>
                <w:szCs w:val="20"/>
              </w:rPr>
              <w:t>připomínkující subjekt</w:t>
            </w:r>
            <w:r w:rsidR="009672FB">
              <w:rPr>
                <w:rFonts w:ascii="Arial" w:hAnsi="Arial" w:cs="Arial"/>
                <w:sz w:val="20"/>
                <w:szCs w:val="20"/>
              </w:rPr>
              <w:t xml:space="preserve"> nevyjímaje. Úřad konzultoval s </w:t>
            </w:r>
            <w:r w:rsidRPr="00096E8A">
              <w:rPr>
                <w:rFonts w:ascii="Arial" w:hAnsi="Arial" w:cs="Arial"/>
                <w:sz w:val="20"/>
                <w:szCs w:val="20"/>
              </w:rPr>
              <w:t>mobilními operátory všechny podstatné rysy modelu (včetně úrovně jeho detailu) ještě před samotným zahájením jeho vytváření, ale také následně v průběhu jeho tvorby. Operátoři</w:t>
            </w:r>
            <w:r w:rsidR="0068161A">
              <w:rPr>
                <w:rFonts w:ascii="Arial" w:hAnsi="Arial" w:cs="Arial"/>
                <w:sz w:val="20"/>
                <w:szCs w:val="20"/>
              </w:rPr>
              <w:t>,</w:t>
            </w:r>
            <w:r w:rsidRPr="00096E8A">
              <w:rPr>
                <w:rFonts w:ascii="Arial" w:hAnsi="Arial" w:cs="Arial"/>
                <w:sz w:val="20"/>
                <w:szCs w:val="20"/>
              </w:rPr>
              <w:t xml:space="preserve"> včetně </w:t>
            </w:r>
            <w:r w:rsidR="0068161A">
              <w:rPr>
                <w:rFonts w:ascii="Arial" w:hAnsi="Arial" w:cs="Arial"/>
                <w:sz w:val="20"/>
                <w:szCs w:val="20"/>
              </w:rPr>
              <w:t>připomínkujícího subjektu,</w:t>
            </w:r>
            <w:r w:rsidR="009672FB">
              <w:rPr>
                <w:rFonts w:ascii="Arial" w:hAnsi="Arial" w:cs="Arial"/>
                <w:sz w:val="20"/>
                <w:szCs w:val="20"/>
              </w:rPr>
              <w:t xml:space="preserve"> byli na mnoha workshopech a </w:t>
            </w:r>
            <w:r w:rsidRPr="00096E8A">
              <w:rPr>
                <w:rFonts w:ascii="Arial" w:hAnsi="Arial" w:cs="Arial"/>
                <w:sz w:val="20"/>
                <w:szCs w:val="20"/>
              </w:rPr>
              <w:t>p</w:t>
            </w:r>
            <w:r w:rsidR="009672FB">
              <w:rPr>
                <w:rFonts w:ascii="Arial" w:hAnsi="Arial" w:cs="Arial"/>
                <w:sz w:val="20"/>
                <w:szCs w:val="20"/>
              </w:rPr>
              <w:t>racovních jednáních seznámeni s </w:t>
            </w:r>
            <w:r w:rsidRPr="00096E8A">
              <w:rPr>
                <w:rFonts w:ascii="Arial" w:hAnsi="Arial" w:cs="Arial"/>
                <w:sz w:val="20"/>
                <w:szCs w:val="20"/>
              </w:rPr>
              <w:t>průběžnými verzemi modelu od zahájení jeho vývo</w:t>
            </w:r>
            <w:r w:rsidR="00024CFA">
              <w:rPr>
                <w:rFonts w:ascii="Arial" w:hAnsi="Arial" w:cs="Arial"/>
                <w:sz w:val="20"/>
                <w:szCs w:val="20"/>
              </w:rPr>
              <w:t>je až do jeho úplného dokončení a</w:t>
            </w:r>
            <w:bookmarkStart w:id="0" w:name="_GoBack"/>
            <w:bookmarkEnd w:id="0"/>
            <w:r w:rsidRPr="00096E8A">
              <w:rPr>
                <w:rFonts w:ascii="Arial" w:hAnsi="Arial" w:cs="Arial"/>
                <w:sz w:val="20"/>
                <w:szCs w:val="20"/>
              </w:rPr>
              <w:t xml:space="preserve"> byli seznámeni se všemi jeho parametry a předpoklady kalkulace. Operátoři d</w:t>
            </w:r>
            <w:r w:rsidR="009672FB">
              <w:rPr>
                <w:rFonts w:ascii="Arial" w:hAnsi="Arial" w:cs="Arial"/>
                <w:sz w:val="20"/>
                <w:szCs w:val="20"/>
              </w:rPr>
              <w:t>ostali možnost v </w:t>
            </w:r>
            <w:r w:rsidRPr="00096E8A">
              <w:rPr>
                <w:rFonts w:ascii="Arial" w:hAnsi="Arial" w:cs="Arial"/>
                <w:sz w:val="20"/>
                <w:szCs w:val="20"/>
              </w:rPr>
              <w:t xml:space="preserve">průběhu tvorby modelu vznášet připomínky, čehož také ve velké míře využívali. Připomínky, které byly shledány opodstatněnými, byly do </w:t>
            </w:r>
            <w:r w:rsidRPr="00096E8A">
              <w:rPr>
                <w:rFonts w:ascii="Arial" w:hAnsi="Arial" w:cs="Arial"/>
                <w:sz w:val="20"/>
                <w:szCs w:val="20"/>
              </w:rPr>
              <w:lastRenderedPageBreak/>
              <w:t xml:space="preserve">modelu zapracovány. V případě nevyhovění připomínkám Úřad vždy podrobně zdůvodnil, z jakého důvodu připomínky nepřijal. Se všemi předpoklady a „zjednodušeními“ modelu, o kterých nyní hovoří </w:t>
            </w:r>
            <w:r w:rsidR="0068161A">
              <w:rPr>
                <w:rFonts w:ascii="Arial" w:hAnsi="Arial" w:cs="Arial"/>
                <w:sz w:val="20"/>
                <w:szCs w:val="20"/>
              </w:rPr>
              <w:t>připomínkující subjekt</w:t>
            </w:r>
            <w:r w:rsidRPr="00096E8A">
              <w:rPr>
                <w:rFonts w:ascii="Arial" w:hAnsi="Arial" w:cs="Arial"/>
                <w:sz w:val="20"/>
                <w:szCs w:val="20"/>
              </w:rPr>
              <w:t xml:space="preserve">, tak již byli operátoři v minulosti seznámeni. Tato připomínka se </w:t>
            </w:r>
            <w:r w:rsidR="0068161A">
              <w:rPr>
                <w:rFonts w:ascii="Arial" w:hAnsi="Arial" w:cs="Arial"/>
                <w:sz w:val="20"/>
                <w:szCs w:val="20"/>
              </w:rPr>
              <w:t xml:space="preserve">tak </w:t>
            </w:r>
            <w:r w:rsidRPr="00096E8A">
              <w:rPr>
                <w:rFonts w:ascii="Arial" w:hAnsi="Arial" w:cs="Arial"/>
                <w:sz w:val="20"/>
                <w:szCs w:val="20"/>
              </w:rPr>
              <w:t>nyní tedy jeví jako čistě účelová. Úřad navíc trvá na tom, že model kalkuluje cenu za službu terminace správným způsobem.</w:t>
            </w:r>
          </w:p>
          <w:p w:rsidR="00096E8A" w:rsidRPr="00096E8A" w:rsidRDefault="00096E8A" w:rsidP="00096E8A">
            <w:pPr>
              <w:spacing w:after="60"/>
              <w:jc w:val="both"/>
              <w:rPr>
                <w:rFonts w:ascii="Arial" w:hAnsi="Arial" w:cs="Arial"/>
                <w:sz w:val="20"/>
                <w:szCs w:val="20"/>
              </w:rPr>
            </w:pPr>
            <w:r w:rsidRPr="00096E8A">
              <w:rPr>
                <w:rFonts w:ascii="Arial" w:hAnsi="Arial" w:cs="Arial"/>
                <w:sz w:val="20"/>
                <w:szCs w:val="20"/>
              </w:rPr>
              <w:t xml:space="preserve">Co se týká konkrétních argumentů použitých </w:t>
            </w:r>
            <w:r w:rsidR="0068161A">
              <w:rPr>
                <w:rFonts w:ascii="Arial" w:hAnsi="Arial" w:cs="Arial"/>
                <w:sz w:val="20"/>
                <w:szCs w:val="20"/>
              </w:rPr>
              <w:t>připomínkujícím subjektem</w:t>
            </w:r>
            <w:r w:rsidRPr="00096E8A">
              <w:rPr>
                <w:rFonts w:ascii="Arial" w:hAnsi="Arial" w:cs="Arial"/>
                <w:sz w:val="20"/>
                <w:szCs w:val="20"/>
              </w:rPr>
              <w:t xml:space="preserve"> (počet sektorů a základnových stanic), je v návaznosti na výše uvedené zcela logické, že technické parametry sítě teoretického efektivního operátora nemohou odpovídat do detailu síti společnosti </w:t>
            </w:r>
            <w:r w:rsidR="0068161A">
              <w:rPr>
                <w:rFonts w:ascii="Arial" w:hAnsi="Arial" w:cs="Arial"/>
                <w:sz w:val="20"/>
                <w:szCs w:val="20"/>
              </w:rPr>
              <w:t>připomínkujícího subjektu</w:t>
            </w:r>
            <w:r w:rsidRPr="00096E8A">
              <w:rPr>
                <w:rFonts w:ascii="Arial" w:hAnsi="Arial" w:cs="Arial"/>
                <w:sz w:val="20"/>
                <w:szCs w:val="20"/>
              </w:rPr>
              <w:t xml:space="preserve">. Zásadním požadavkem asociace APMS (jejímž je </w:t>
            </w:r>
            <w:r w:rsidR="0068161A">
              <w:rPr>
                <w:rFonts w:ascii="Arial" w:hAnsi="Arial" w:cs="Arial"/>
                <w:sz w:val="20"/>
                <w:szCs w:val="20"/>
              </w:rPr>
              <w:t>připomínkující subjekt</w:t>
            </w:r>
            <w:r w:rsidRPr="00096E8A">
              <w:rPr>
                <w:rFonts w:ascii="Arial" w:hAnsi="Arial" w:cs="Arial"/>
                <w:sz w:val="20"/>
                <w:szCs w:val="20"/>
              </w:rPr>
              <w:t xml:space="preserve"> členem) bylo, aby síť teoretického efektivního operátora v co největší možné míře zohledňovala reálné sítě vš</w:t>
            </w:r>
            <w:r w:rsidR="009672FB">
              <w:rPr>
                <w:rFonts w:ascii="Arial" w:hAnsi="Arial" w:cs="Arial"/>
                <w:sz w:val="20"/>
                <w:szCs w:val="20"/>
              </w:rPr>
              <w:t>ech tří mobilních operátorů s </w:t>
            </w:r>
            <w:r w:rsidRPr="00096E8A">
              <w:rPr>
                <w:rFonts w:ascii="Arial" w:hAnsi="Arial" w:cs="Arial"/>
                <w:sz w:val="20"/>
                <w:szCs w:val="20"/>
              </w:rPr>
              <w:t>celostátním pokrytím (společnosti Telefónica</w:t>
            </w:r>
            <w:r w:rsidR="0068161A">
              <w:rPr>
                <w:rFonts w:ascii="Arial" w:hAnsi="Arial" w:cs="Arial"/>
                <w:sz w:val="20"/>
                <w:szCs w:val="20"/>
              </w:rPr>
              <w:t xml:space="preserve"> Czech Republic, a.s.</w:t>
            </w:r>
            <w:r w:rsidRPr="00096E8A">
              <w:rPr>
                <w:rFonts w:ascii="Arial" w:hAnsi="Arial" w:cs="Arial"/>
                <w:sz w:val="20"/>
                <w:szCs w:val="20"/>
              </w:rPr>
              <w:t>, T-Mobile</w:t>
            </w:r>
            <w:r w:rsidR="0068161A">
              <w:rPr>
                <w:rFonts w:ascii="Arial" w:hAnsi="Arial" w:cs="Arial"/>
                <w:sz w:val="20"/>
                <w:szCs w:val="20"/>
              </w:rPr>
              <w:t xml:space="preserve"> Czech Republic a.s.</w:t>
            </w:r>
            <w:r w:rsidRPr="00096E8A">
              <w:rPr>
                <w:rFonts w:ascii="Arial" w:hAnsi="Arial" w:cs="Arial"/>
                <w:sz w:val="20"/>
                <w:szCs w:val="20"/>
              </w:rPr>
              <w:t xml:space="preserve"> a Vodafone</w:t>
            </w:r>
            <w:r w:rsidR="0068161A">
              <w:rPr>
                <w:rFonts w:ascii="Arial" w:hAnsi="Arial" w:cs="Arial"/>
                <w:sz w:val="20"/>
                <w:szCs w:val="20"/>
              </w:rPr>
              <w:t xml:space="preserve"> Czech Republic a.s.</w:t>
            </w:r>
            <w:r w:rsidRPr="00096E8A">
              <w:rPr>
                <w:rFonts w:ascii="Arial" w:hAnsi="Arial" w:cs="Arial"/>
                <w:sz w:val="20"/>
                <w:szCs w:val="20"/>
              </w:rPr>
              <w:t>). Tento požadavek byl do modelu promítnut. Z toho vyplývá, že síť teoretického efektivního operátora nemůže odpovídat každé jednotlivé síti jednotlivých operátorů, ale je jakýmsi „hybridem“ těchto sítí. Zjednodušeně řečeno, model používá „prů</w:t>
            </w:r>
            <w:r w:rsidR="009672FB">
              <w:rPr>
                <w:rFonts w:ascii="Arial" w:hAnsi="Arial" w:cs="Arial"/>
                <w:sz w:val="20"/>
                <w:szCs w:val="20"/>
              </w:rPr>
              <w:t>měrné“ síťové prvky, zařízení a </w:t>
            </w:r>
            <w:r w:rsidRPr="00096E8A">
              <w:rPr>
                <w:rFonts w:ascii="Arial" w:hAnsi="Arial" w:cs="Arial"/>
                <w:sz w:val="20"/>
                <w:szCs w:val="20"/>
              </w:rPr>
              <w:t xml:space="preserve">inženýrské přístupy výše uvedených tří operátorů, aby s jejich použitím </w:t>
            </w:r>
            <w:r w:rsidRPr="00096E8A">
              <w:rPr>
                <w:rFonts w:ascii="Arial" w:hAnsi="Arial" w:cs="Arial"/>
                <w:sz w:val="20"/>
                <w:szCs w:val="20"/>
              </w:rPr>
              <w:lastRenderedPageBreak/>
              <w:t xml:space="preserve">navrhl optimální síť teoretického efektivního operátora. </w:t>
            </w:r>
          </w:p>
          <w:p w:rsidR="00096E8A" w:rsidRPr="00096E8A" w:rsidRDefault="00096E8A" w:rsidP="00096E8A">
            <w:pPr>
              <w:spacing w:after="60"/>
              <w:jc w:val="both"/>
              <w:rPr>
                <w:rFonts w:ascii="Arial" w:hAnsi="Arial" w:cs="Arial"/>
                <w:sz w:val="20"/>
                <w:szCs w:val="20"/>
              </w:rPr>
            </w:pPr>
            <w:r w:rsidRPr="00096E8A">
              <w:rPr>
                <w:rFonts w:ascii="Arial" w:hAnsi="Arial" w:cs="Arial"/>
                <w:sz w:val="20"/>
                <w:szCs w:val="20"/>
              </w:rPr>
              <w:t>Co se týká údajného nízkého počtu základnových stanic BTS (dle modelu nižšího, než je u kteréhokoliv ze současných operátorů), i to je zcela logick</w:t>
            </w:r>
            <w:r w:rsidR="009672FB">
              <w:rPr>
                <w:rFonts w:ascii="Arial" w:hAnsi="Arial" w:cs="Arial"/>
                <w:sz w:val="20"/>
                <w:szCs w:val="20"/>
              </w:rPr>
              <w:t>é. Vzhledem k tomu, že provoz v </w:t>
            </w:r>
            <w:r w:rsidRPr="00096E8A">
              <w:rPr>
                <w:rFonts w:ascii="Arial" w:hAnsi="Arial" w:cs="Arial"/>
                <w:sz w:val="20"/>
                <w:szCs w:val="20"/>
              </w:rPr>
              <w:t>síti teoretického efektivního operátora odpovídá zhruba provozu v síti nejmenšího ze tří operátorů (provoz je počítán jako ¼ celkového provozu ve všech třech sítích), je samozřejmé, že dva z operátorů, kteří mají v síti obj</w:t>
            </w:r>
            <w:r w:rsidR="009672FB">
              <w:rPr>
                <w:rFonts w:ascii="Arial" w:hAnsi="Arial" w:cs="Arial"/>
                <w:sz w:val="20"/>
                <w:szCs w:val="20"/>
              </w:rPr>
              <w:t>em provozu mnohem vyšší, mají z </w:t>
            </w:r>
            <w:r w:rsidRPr="00096E8A">
              <w:rPr>
                <w:rFonts w:ascii="Arial" w:hAnsi="Arial" w:cs="Arial"/>
                <w:sz w:val="20"/>
                <w:szCs w:val="20"/>
              </w:rPr>
              <w:t>kapacitních důvodů i větší počty stanic BTS. Vzhledem k tomu, že síť teoretického efektivního operátora je optimalizovaná (neobsahuje například neefektivity dané různými historickými důvody a případnými špatnými inženýrskými rozhodnutími při výstavbě skutečné sítě apod.), je počet BTS v síti teoretického efektivního operátora nižší než počet BTS v síti nejmenšího z operátorů. Pokud by počet BTS vyšel stejný nebo vyšší než je v síti reálného nejmenšího oper</w:t>
            </w:r>
            <w:r w:rsidR="009672FB">
              <w:rPr>
                <w:rFonts w:ascii="Arial" w:hAnsi="Arial" w:cs="Arial"/>
                <w:sz w:val="20"/>
                <w:szCs w:val="20"/>
              </w:rPr>
              <w:t>átora, zjevně by se nejednalo o </w:t>
            </w:r>
            <w:r w:rsidRPr="00096E8A">
              <w:rPr>
                <w:rFonts w:ascii="Arial" w:hAnsi="Arial" w:cs="Arial"/>
                <w:sz w:val="20"/>
                <w:szCs w:val="20"/>
              </w:rPr>
              <w:t>optimalizovanou síť.</w:t>
            </w:r>
          </w:p>
          <w:p w:rsidR="00096E8A" w:rsidRPr="00096E8A" w:rsidRDefault="00096E8A" w:rsidP="00096E8A">
            <w:pPr>
              <w:spacing w:after="60"/>
              <w:jc w:val="both"/>
              <w:rPr>
                <w:rFonts w:ascii="Arial" w:hAnsi="Arial" w:cs="Arial"/>
                <w:sz w:val="20"/>
                <w:szCs w:val="20"/>
              </w:rPr>
            </w:pPr>
            <w:r w:rsidRPr="00096E8A">
              <w:rPr>
                <w:rFonts w:ascii="Arial" w:hAnsi="Arial" w:cs="Arial"/>
                <w:sz w:val="20"/>
                <w:szCs w:val="20"/>
              </w:rPr>
              <w:t xml:space="preserve">Na závěr </w:t>
            </w:r>
            <w:r w:rsidR="0068161A">
              <w:rPr>
                <w:rFonts w:ascii="Arial" w:hAnsi="Arial" w:cs="Arial"/>
                <w:sz w:val="20"/>
                <w:szCs w:val="20"/>
              </w:rPr>
              <w:t>připomínkující subjekt</w:t>
            </w:r>
            <w:r w:rsidRPr="00096E8A">
              <w:rPr>
                <w:rFonts w:ascii="Arial" w:hAnsi="Arial" w:cs="Arial"/>
                <w:sz w:val="20"/>
                <w:szCs w:val="20"/>
              </w:rPr>
              <w:t xml:space="preserve"> uvádí, že z výše popsaných důvodů by měl Úřad věnovat důkladnou kontrolu modelované sítě teoretického efektivního operátora. Případné odlišnosti takto namodelované teoretické sítě od reálných sítí jedn</w:t>
            </w:r>
            <w:r w:rsidR="0068161A">
              <w:rPr>
                <w:rFonts w:ascii="Arial" w:hAnsi="Arial" w:cs="Arial"/>
                <w:sz w:val="20"/>
                <w:szCs w:val="20"/>
              </w:rPr>
              <w:t>otlivých operátorů na trhu</w:t>
            </w:r>
            <w:r w:rsidRPr="00096E8A">
              <w:rPr>
                <w:rFonts w:ascii="Arial" w:hAnsi="Arial" w:cs="Arial"/>
                <w:sz w:val="20"/>
                <w:szCs w:val="20"/>
              </w:rPr>
              <w:t xml:space="preserve"> by měl Úřad </w:t>
            </w:r>
            <w:r w:rsidR="0068161A">
              <w:rPr>
                <w:rFonts w:ascii="Arial" w:hAnsi="Arial" w:cs="Arial"/>
                <w:sz w:val="20"/>
                <w:szCs w:val="20"/>
              </w:rPr>
              <w:t xml:space="preserve">řádně </w:t>
            </w:r>
            <w:r w:rsidRPr="00096E8A">
              <w:rPr>
                <w:rFonts w:ascii="Arial" w:hAnsi="Arial" w:cs="Arial"/>
                <w:sz w:val="20"/>
                <w:szCs w:val="20"/>
              </w:rPr>
              <w:t xml:space="preserve">zdůvodnit, případně upravit </w:t>
            </w:r>
            <w:r w:rsidRPr="00096E8A">
              <w:rPr>
                <w:rFonts w:ascii="Arial" w:hAnsi="Arial" w:cs="Arial"/>
                <w:sz w:val="20"/>
                <w:szCs w:val="20"/>
              </w:rPr>
              <w:lastRenderedPageBreak/>
              <w:t>parametry v modelu tak, aby modelovaná síť odpovídala realitě.</w:t>
            </w:r>
          </w:p>
          <w:p w:rsidR="005374B2" w:rsidRPr="000E349D" w:rsidRDefault="00096E8A" w:rsidP="00096E8A">
            <w:pPr>
              <w:spacing w:after="60"/>
              <w:jc w:val="both"/>
              <w:rPr>
                <w:rFonts w:ascii="Arial" w:hAnsi="Arial" w:cs="Arial"/>
                <w:sz w:val="20"/>
                <w:szCs w:val="20"/>
              </w:rPr>
            </w:pPr>
            <w:r w:rsidRPr="00096E8A">
              <w:rPr>
                <w:rFonts w:ascii="Arial" w:hAnsi="Arial" w:cs="Arial"/>
                <w:sz w:val="20"/>
                <w:szCs w:val="20"/>
              </w:rPr>
              <w:t>K tomu Úřad pouze konstatuje, že</w:t>
            </w:r>
            <w:r w:rsidR="0068161A">
              <w:rPr>
                <w:rFonts w:ascii="Arial" w:hAnsi="Arial" w:cs="Arial"/>
                <w:sz w:val="20"/>
                <w:szCs w:val="20"/>
              </w:rPr>
              <w:t>,</w:t>
            </w:r>
            <w:r w:rsidRPr="00096E8A">
              <w:rPr>
                <w:rFonts w:ascii="Arial" w:hAnsi="Arial" w:cs="Arial"/>
                <w:sz w:val="20"/>
                <w:szCs w:val="20"/>
              </w:rPr>
              <w:t xml:space="preserve"> jak již bylo uvedeno výše, ze samotného principu zvolené metody kalkulace je zcela přirozené a nevyhnutelné, že se modelovaná síť teoretického efektivního operátora do jisté míry liší od skutečných sítí českých mobilních operátorů (podrobnější zdůvodnění viz předchozí text). Úřad nicméně trvá na tom, že modelovaná optimální síť odpovídá realitě v dostatečně rozumné míře na to, aby výsledkem kalkulace byla správná cena za terminaci. Úřad chce v této souvislosti zdůraznit, že veškeré konkrétní připomínky operátorů, které byly vyhodnoceny jako objektivní a odůvodněné, byly do modelu v minulosti zapracovány</w:t>
            </w:r>
            <w:r w:rsidR="0062576E">
              <w:rPr>
                <w:rFonts w:ascii="Arial" w:hAnsi="Arial" w:cs="Arial"/>
                <w:sz w:val="20"/>
                <w:szCs w:val="20"/>
              </w:rPr>
              <w:t>.</w:t>
            </w:r>
          </w:p>
        </w:tc>
      </w:tr>
    </w:tbl>
    <w:p w:rsidR="007E17B5" w:rsidRPr="00EC6451" w:rsidRDefault="007E17B5" w:rsidP="002D7B79">
      <w:pPr>
        <w:spacing w:after="60"/>
        <w:rPr>
          <w:rFonts w:ascii="Arial" w:hAnsi="Arial" w:cs="Arial"/>
          <w:sz w:val="20"/>
          <w:szCs w:val="20"/>
        </w:rPr>
      </w:pPr>
    </w:p>
    <w:sectPr w:rsidR="007E17B5" w:rsidRPr="00EC6451" w:rsidSect="007E17B5">
      <w:footerReference w:type="even"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A4" w:rsidRDefault="007D05A4">
      <w:r>
        <w:separator/>
      </w:r>
    </w:p>
  </w:endnote>
  <w:endnote w:type="continuationSeparator" w:id="0">
    <w:p w:rsidR="007D05A4" w:rsidRDefault="007D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MS PMincho"/>
    <w:charset w:val="80"/>
    <w:family w:val="roman"/>
    <w:pitch w:val="variable"/>
  </w:font>
  <w:font w:name="DejaVu San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A9" w:rsidRDefault="0081079E" w:rsidP="00C525B2">
    <w:pPr>
      <w:pStyle w:val="Zpat"/>
      <w:framePr w:wrap="around" w:vAnchor="text" w:hAnchor="margin" w:xAlign="center" w:y="1"/>
      <w:rPr>
        <w:rStyle w:val="slostrnky"/>
      </w:rPr>
    </w:pPr>
    <w:r>
      <w:rPr>
        <w:rStyle w:val="slostrnky"/>
      </w:rPr>
      <w:fldChar w:fldCharType="begin"/>
    </w:r>
    <w:r w:rsidR="00BE0CA9">
      <w:rPr>
        <w:rStyle w:val="slostrnky"/>
      </w:rPr>
      <w:instrText xml:space="preserve">PAGE  </w:instrText>
    </w:r>
    <w:r>
      <w:rPr>
        <w:rStyle w:val="slostrnky"/>
      </w:rPr>
      <w:fldChar w:fldCharType="end"/>
    </w:r>
  </w:p>
  <w:p w:rsidR="00BE0CA9" w:rsidRDefault="00BE0C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A9" w:rsidRPr="005B5F82" w:rsidRDefault="0081079E" w:rsidP="00C525B2">
    <w:pPr>
      <w:pStyle w:val="Zpat"/>
      <w:framePr w:wrap="around" w:vAnchor="text" w:hAnchor="margin" w:xAlign="center" w:y="1"/>
      <w:rPr>
        <w:rStyle w:val="slostrnky"/>
        <w:rFonts w:ascii="Arial" w:hAnsi="Arial" w:cs="Arial"/>
        <w:sz w:val="20"/>
        <w:szCs w:val="20"/>
      </w:rPr>
    </w:pPr>
    <w:r w:rsidRPr="005B5F82">
      <w:rPr>
        <w:rStyle w:val="slostrnky"/>
        <w:rFonts w:ascii="Arial" w:hAnsi="Arial" w:cs="Arial"/>
        <w:sz w:val="20"/>
        <w:szCs w:val="20"/>
      </w:rPr>
      <w:fldChar w:fldCharType="begin"/>
    </w:r>
    <w:r w:rsidR="00BE0CA9" w:rsidRPr="005B5F82">
      <w:rPr>
        <w:rStyle w:val="slostrnky"/>
        <w:rFonts w:ascii="Arial" w:hAnsi="Arial" w:cs="Arial"/>
        <w:sz w:val="20"/>
        <w:szCs w:val="20"/>
      </w:rPr>
      <w:instrText xml:space="preserve">PAGE  </w:instrText>
    </w:r>
    <w:r w:rsidRPr="005B5F82">
      <w:rPr>
        <w:rStyle w:val="slostrnky"/>
        <w:rFonts w:ascii="Arial" w:hAnsi="Arial" w:cs="Arial"/>
        <w:sz w:val="20"/>
        <w:szCs w:val="20"/>
      </w:rPr>
      <w:fldChar w:fldCharType="separate"/>
    </w:r>
    <w:r w:rsidR="00024CFA">
      <w:rPr>
        <w:rStyle w:val="slostrnky"/>
        <w:rFonts w:ascii="Arial" w:hAnsi="Arial" w:cs="Arial"/>
        <w:noProof/>
        <w:sz w:val="20"/>
        <w:szCs w:val="20"/>
      </w:rPr>
      <w:t>21</w:t>
    </w:r>
    <w:r w:rsidRPr="005B5F82">
      <w:rPr>
        <w:rStyle w:val="slostrnky"/>
        <w:rFonts w:ascii="Arial" w:hAnsi="Arial" w:cs="Arial"/>
        <w:sz w:val="20"/>
        <w:szCs w:val="20"/>
      </w:rPr>
      <w:fldChar w:fldCharType="end"/>
    </w:r>
    <w:r w:rsidR="005C4E35">
      <w:rPr>
        <w:rStyle w:val="slostrnky"/>
        <w:rFonts w:ascii="Arial" w:hAnsi="Arial" w:cs="Arial"/>
        <w:sz w:val="20"/>
        <w:szCs w:val="20"/>
      </w:rPr>
      <w:t>/</w:t>
    </w:r>
    <w:fldSimple w:instr=" NUMPAGES   \* MERGEFORMAT ">
      <w:r w:rsidR="00024CFA" w:rsidRPr="00024CFA">
        <w:rPr>
          <w:rStyle w:val="slostrnky"/>
          <w:rFonts w:ascii="Arial" w:hAnsi="Arial" w:cs="Arial"/>
          <w:noProof/>
          <w:sz w:val="20"/>
          <w:szCs w:val="20"/>
        </w:rPr>
        <w:t>21</w:t>
      </w:r>
    </w:fldSimple>
  </w:p>
  <w:p w:rsidR="00BE0CA9" w:rsidRPr="009E23FF" w:rsidRDefault="00BE0CA9" w:rsidP="009E23FF">
    <w:pPr>
      <w:pStyle w:val="Zpat"/>
      <w:tabs>
        <w:tab w:val="clear" w:pos="4536"/>
        <w:tab w:val="clear" w:pos="9072"/>
        <w:tab w:val="left" w:pos="3915"/>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A4" w:rsidRDefault="007D05A4">
      <w:r>
        <w:separator/>
      </w:r>
    </w:p>
  </w:footnote>
  <w:footnote w:type="continuationSeparator" w:id="0">
    <w:p w:rsidR="007D05A4" w:rsidRDefault="007D05A4">
      <w:r>
        <w:continuationSeparator/>
      </w:r>
    </w:p>
  </w:footnote>
  <w:footnote w:id="1">
    <w:p w:rsidR="005374B2" w:rsidRPr="00A702F3" w:rsidRDefault="005374B2" w:rsidP="00406DA2">
      <w:pPr>
        <w:pStyle w:val="Textpoznpodarou"/>
        <w:jc w:val="both"/>
        <w:rPr>
          <w:rFonts w:ascii="Arial" w:hAnsi="Arial" w:cs="Arial"/>
          <w:sz w:val="16"/>
          <w:szCs w:val="16"/>
        </w:rPr>
      </w:pPr>
      <w:r w:rsidRPr="00A702F3">
        <w:rPr>
          <w:rStyle w:val="Znakapoznpodarou"/>
          <w:rFonts w:ascii="Arial" w:hAnsi="Arial" w:cs="Arial"/>
          <w:sz w:val="16"/>
          <w:szCs w:val="16"/>
        </w:rPr>
        <w:footnoteRef/>
      </w:r>
      <w:r w:rsidRPr="00A702F3">
        <w:rPr>
          <w:rFonts w:ascii="Arial" w:hAnsi="Arial" w:cs="Arial"/>
          <w:sz w:val="16"/>
          <w:szCs w:val="16"/>
        </w:rPr>
        <w:t xml:space="preserve"> Poměrně podrobná argumentace, proč právě metoda „</w:t>
      </w:r>
      <w:proofErr w:type="spellStart"/>
      <w:r w:rsidRPr="00A702F3">
        <w:rPr>
          <w:rFonts w:ascii="Arial" w:hAnsi="Arial" w:cs="Arial"/>
          <w:sz w:val="16"/>
          <w:szCs w:val="16"/>
        </w:rPr>
        <w:t>pure</w:t>
      </w:r>
      <w:proofErr w:type="spellEnd"/>
      <w:r w:rsidRPr="00A702F3">
        <w:rPr>
          <w:rFonts w:ascii="Arial" w:hAnsi="Arial" w:cs="Arial"/>
          <w:sz w:val="16"/>
          <w:szCs w:val="16"/>
        </w:rPr>
        <w:t xml:space="preserve">“ LRIC je pro regulaci terminačních cen ta nejvhodnější, je vedena ve </w:t>
      </w:r>
      <w:hyperlink r:id="rId1" w:history="1">
        <w:r w:rsidRPr="00A702F3">
          <w:rPr>
            <w:rStyle w:val="Hypertextovodkaz"/>
            <w:rFonts w:ascii="Arial" w:hAnsi="Arial" w:cs="Arial"/>
            <w:sz w:val="16"/>
            <w:szCs w:val="16"/>
          </w:rPr>
          <w:t>Vysvětlující zprávě</w:t>
        </w:r>
      </w:hyperlink>
      <w:r w:rsidRPr="00A702F3">
        <w:rPr>
          <w:rFonts w:ascii="Arial" w:hAnsi="Arial" w:cs="Arial"/>
          <w:sz w:val="16"/>
          <w:szCs w:val="16"/>
        </w:rPr>
        <w:t xml:space="preserve"> k vydanému Doporučení</w:t>
      </w:r>
    </w:p>
  </w:footnote>
  <w:footnote w:id="2">
    <w:p w:rsidR="002F378B" w:rsidRPr="00A702F3" w:rsidRDefault="002F378B" w:rsidP="002F378B">
      <w:pPr>
        <w:pStyle w:val="Textpoznpodarou"/>
        <w:rPr>
          <w:rFonts w:ascii="Arial" w:hAnsi="Arial" w:cs="Arial"/>
          <w:sz w:val="16"/>
          <w:szCs w:val="16"/>
        </w:rPr>
      </w:pPr>
      <w:r w:rsidRPr="00A702F3">
        <w:rPr>
          <w:rStyle w:val="Znakapoznpodarou"/>
          <w:rFonts w:ascii="Arial" w:hAnsi="Arial" w:cs="Arial"/>
          <w:sz w:val="16"/>
          <w:szCs w:val="16"/>
        </w:rPr>
        <w:footnoteRef/>
      </w:r>
      <w:r w:rsidRPr="00A702F3">
        <w:rPr>
          <w:rFonts w:ascii="Arial" w:hAnsi="Arial" w:cs="Arial"/>
          <w:sz w:val="16"/>
          <w:szCs w:val="16"/>
        </w:rPr>
        <w:t xml:space="preserve"> Viz </w:t>
      </w:r>
      <w:hyperlink r:id="rId2" w:history="1">
        <w:r w:rsidRPr="00A702F3">
          <w:rPr>
            <w:rStyle w:val="Hypertextovodkaz"/>
            <w:rFonts w:ascii="Arial" w:hAnsi="Arial" w:cs="Arial"/>
            <w:sz w:val="16"/>
            <w:szCs w:val="16"/>
          </w:rPr>
          <w:t>analýza relevantního trhu č. 7</w:t>
        </w:r>
      </w:hyperlink>
      <w:r w:rsidRPr="00A702F3">
        <w:rPr>
          <w:rFonts w:ascii="Arial" w:hAnsi="Arial" w:cs="Arial"/>
          <w:sz w:val="16"/>
          <w:szCs w:val="16"/>
        </w:rPr>
        <w:t xml:space="preserve"> z 10. prosince 2013, str. 50-51.</w:t>
      </w:r>
    </w:p>
  </w:footnote>
  <w:footnote w:id="3">
    <w:p w:rsidR="00BC2A4D" w:rsidRPr="00A702F3" w:rsidRDefault="00BC2A4D" w:rsidP="00BC2A4D">
      <w:pPr>
        <w:pStyle w:val="Textpoznpodarou"/>
        <w:jc w:val="both"/>
        <w:rPr>
          <w:rFonts w:ascii="Arial" w:hAnsi="Arial" w:cs="Arial"/>
          <w:sz w:val="16"/>
          <w:szCs w:val="16"/>
        </w:rPr>
      </w:pPr>
      <w:r w:rsidRPr="00A702F3">
        <w:rPr>
          <w:rStyle w:val="Znakapoznpodarou"/>
          <w:rFonts w:ascii="Arial" w:hAnsi="Arial" w:cs="Arial"/>
          <w:sz w:val="16"/>
          <w:szCs w:val="16"/>
        </w:rPr>
        <w:footnoteRef/>
      </w:r>
      <w:r w:rsidRPr="00A702F3">
        <w:rPr>
          <w:rFonts w:ascii="Arial" w:hAnsi="Arial" w:cs="Arial"/>
          <w:sz w:val="16"/>
          <w:szCs w:val="16"/>
        </w:rPr>
        <w:t xml:space="preserve"> Viz např. čl. 2 odst. 2 písm. d) a e) </w:t>
      </w:r>
      <w:hyperlink r:id="rId3" w:history="1">
        <w:r w:rsidRPr="00A702F3">
          <w:rPr>
            <w:rStyle w:val="Hypertextovodkaz"/>
            <w:rFonts w:ascii="Arial" w:hAnsi="Arial" w:cs="Arial"/>
            <w:sz w:val="16"/>
            <w:szCs w:val="16"/>
          </w:rPr>
          <w:t>Nařízení</w:t>
        </w:r>
      </w:hyperlink>
      <w:r w:rsidRPr="00A702F3">
        <w:rPr>
          <w:rFonts w:ascii="Arial" w:hAnsi="Arial" w:cs="Arial"/>
          <w:sz w:val="16"/>
          <w:szCs w:val="16"/>
        </w:rPr>
        <w:t xml:space="preserve"> Evropského Parlamentu a Rady (EU) ze dne 13. června 2012 o roamingu ve veřejných mobilních komunikačních sítích v Unii.</w:t>
      </w:r>
    </w:p>
  </w:footnote>
  <w:footnote w:id="4">
    <w:p w:rsidR="005374B2" w:rsidRPr="00A702F3" w:rsidRDefault="005374B2" w:rsidP="00B13928">
      <w:pPr>
        <w:pStyle w:val="Textpoznpodarou"/>
        <w:jc w:val="both"/>
        <w:rPr>
          <w:rFonts w:ascii="Arial" w:hAnsi="Arial" w:cs="Arial"/>
          <w:sz w:val="16"/>
          <w:szCs w:val="16"/>
        </w:rPr>
      </w:pPr>
      <w:r w:rsidRPr="00A702F3">
        <w:rPr>
          <w:rStyle w:val="Znakapoznpodarou"/>
          <w:rFonts w:ascii="Arial" w:hAnsi="Arial" w:cs="Arial"/>
          <w:sz w:val="16"/>
          <w:szCs w:val="16"/>
        </w:rPr>
        <w:footnoteRef/>
      </w:r>
      <w:r w:rsidRPr="00A702F3">
        <w:rPr>
          <w:rFonts w:ascii="Arial" w:hAnsi="Arial" w:cs="Arial"/>
          <w:sz w:val="16"/>
          <w:szCs w:val="16"/>
        </w:rPr>
        <w:t xml:space="preserve"> Předchozí úprava znění navrže</w:t>
      </w:r>
      <w:r w:rsidR="009672FB">
        <w:rPr>
          <w:rFonts w:ascii="Arial" w:hAnsi="Arial" w:cs="Arial"/>
          <w:sz w:val="16"/>
          <w:szCs w:val="16"/>
        </w:rPr>
        <w:t>ná správním orgánem v rámci</w:t>
      </w:r>
      <w:r w:rsidRPr="00A702F3">
        <w:rPr>
          <w:rFonts w:ascii="Arial" w:hAnsi="Arial" w:cs="Arial"/>
          <w:sz w:val="16"/>
          <w:szCs w:val="16"/>
        </w:rPr>
        <w:t xml:space="preserve"> připomínek k zahájenému správnímu řízení byla následující: „Regulace formou maximálních cen podle odstavce 1 se nevztahuje na volání z telefonních čísel s kódy zemí mimo Evropský hospodářský prostor.“</w:t>
      </w:r>
    </w:p>
  </w:footnote>
  <w:footnote w:id="5">
    <w:p w:rsidR="005374B2" w:rsidRPr="00A702F3" w:rsidRDefault="005374B2" w:rsidP="00A8427A">
      <w:pPr>
        <w:pStyle w:val="Textpoznpodarou"/>
        <w:jc w:val="both"/>
        <w:rPr>
          <w:rFonts w:ascii="Arial" w:hAnsi="Arial" w:cs="Arial"/>
          <w:sz w:val="16"/>
          <w:szCs w:val="16"/>
        </w:rPr>
      </w:pPr>
      <w:r w:rsidRPr="00A702F3">
        <w:rPr>
          <w:rStyle w:val="Znakapoznpodarou"/>
          <w:rFonts w:ascii="Arial" w:hAnsi="Arial" w:cs="Arial"/>
          <w:sz w:val="16"/>
          <w:szCs w:val="16"/>
        </w:rPr>
        <w:footnoteRef/>
      </w:r>
      <w:r w:rsidRPr="00A702F3">
        <w:rPr>
          <w:rFonts w:ascii="Arial" w:hAnsi="Arial" w:cs="Arial"/>
          <w:sz w:val="16"/>
          <w:szCs w:val="16"/>
        </w:rPr>
        <w:t xml:space="preserve"> Viz </w:t>
      </w:r>
      <w:hyperlink r:id="rId4" w:history="1">
        <w:r w:rsidRPr="00A702F3">
          <w:rPr>
            <w:rStyle w:val="Hypertextovodkaz"/>
            <w:rFonts w:ascii="Arial" w:hAnsi="Arial" w:cs="Arial"/>
            <w:sz w:val="16"/>
            <w:szCs w:val="16"/>
          </w:rPr>
          <w:t>analýza relevantního trhu č. 7</w:t>
        </w:r>
      </w:hyperlink>
      <w:r w:rsidRPr="00A702F3">
        <w:rPr>
          <w:rFonts w:ascii="Arial" w:hAnsi="Arial" w:cs="Arial"/>
          <w:sz w:val="16"/>
          <w:szCs w:val="16"/>
        </w:rPr>
        <w:t xml:space="preserve"> z 10. prosince 2013, str. 50-51.</w:t>
      </w:r>
    </w:p>
  </w:footnote>
  <w:footnote w:id="6">
    <w:p w:rsidR="005374B2" w:rsidRPr="00F35D91" w:rsidRDefault="005374B2" w:rsidP="00216272">
      <w:pPr>
        <w:pStyle w:val="Textpoznpodarou"/>
        <w:jc w:val="both"/>
        <w:rPr>
          <w:rFonts w:ascii="Arial" w:hAnsi="Arial" w:cs="Arial"/>
          <w:sz w:val="16"/>
          <w:szCs w:val="16"/>
        </w:rPr>
      </w:pPr>
      <w:r w:rsidRPr="00F35D91">
        <w:rPr>
          <w:rStyle w:val="Znakapoznpodarou"/>
          <w:rFonts w:ascii="Arial" w:hAnsi="Arial" w:cs="Arial"/>
          <w:sz w:val="16"/>
          <w:szCs w:val="16"/>
        </w:rPr>
        <w:footnoteRef/>
      </w:r>
      <w:r w:rsidRPr="00F35D91">
        <w:rPr>
          <w:rFonts w:ascii="Arial" w:hAnsi="Arial" w:cs="Arial"/>
          <w:sz w:val="16"/>
          <w:szCs w:val="16"/>
        </w:rPr>
        <w:t xml:space="preserve"> Předchozí úprava znění navrže</w:t>
      </w:r>
      <w:r w:rsidR="009672FB">
        <w:rPr>
          <w:rFonts w:ascii="Arial" w:hAnsi="Arial" w:cs="Arial"/>
          <w:sz w:val="16"/>
          <w:szCs w:val="16"/>
        </w:rPr>
        <w:t>ná správním orgánem v rámci</w:t>
      </w:r>
      <w:r w:rsidRPr="00F35D91">
        <w:rPr>
          <w:rFonts w:ascii="Arial" w:hAnsi="Arial" w:cs="Arial"/>
          <w:sz w:val="16"/>
          <w:szCs w:val="16"/>
        </w:rPr>
        <w:t xml:space="preserve"> připomínek k zahájenému správnímu řízení byla následující: „Regulace formou maximálních cen podle odstavce 1 se nevztahuje na volání z telefonních čísel s kódy zemí mimo Evropský hospodářský prostor.“</w:t>
      </w:r>
    </w:p>
  </w:footnote>
  <w:footnote w:id="7">
    <w:p w:rsidR="005374B2" w:rsidRPr="00DB637C" w:rsidRDefault="005374B2" w:rsidP="003C20E8">
      <w:pPr>
        <w:pStyle w:val="Textpoznpodarou"/>
        <w:jc w:val="both"/>
        <w:rPr>
          <w:rFonts w:ascii="Arial" w:hAnsi="Arial" w:cs="Arial"/>
          <w:sz w:val="16"/>
          <w:szCs w:val="16"/>
        </w:rPr>
      </w:pPr>
      <w:r w:rsidRPr="00DB637C">
        <w:rPr>
          <w:rStyle w:val="Znakapoznpodarou"/>
          <w:rFonts w:ascii="Arial" w:hAnsi="Arial" w:cs="Arial"/>
          <w:sz w:val="16"/>
          <w:szCs w:val="16"/>
        </w:rPr>
        <w:footnoteRef/>
      </w:r>
      <w:r w:rsidRPr="00DB637C">
        <w:rPr>
          <w:rFonts w:ascii="Arial" w:hAnsi="Arial" w:cs="Arial"/>
          <w:sz w:val="16"/>
          <w:szCs w:val="16"/>
        </w:rPr>
        <w:t xml:space="preserve"> Předchozí úprava znění navrže</w:t>
      </w:r>
      <w:r w:rsidR="009672FB">
        <w:rPr>
          <w:rFonts w:ascii="Arial" w:hAnsi="Arial" w:cs="Arial"/>
          <w:sz w:val="16"/>
          <w:szCs w:val="16"/>
        </w:rPr>
        <w:t>ná správním orgánem v rámci</w:t>
      </w:r>
      <w:r w:rsidRPr="00DB637C">
        <w:rPr>
          <w:rFonts w:ascii="Arial" w:hAnsi="Arial" w:cs="Arial"/>
          <w:sz w:val="16"/>
          <w:szCs w:val="16"/>
        </w:rPr>
        <w:t xml:space="preserve"> připomínek k zahájenému správnímu řízení byla následující: „Regulace formou maximálních cen podle odstavce 1 se nevztahuje na volání z telefonních čísel s kódy zemí mimo Evropský hospodářský prostor.“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B5"/>
    <w:rsid w:val="00015052"/>
    <w:rsid w:val="00015ECC"/>
    <w:rsid w:val="00017606"/>
    <w:rsid w:val="00024AD3"/>
    <w:rsid w:val="00024CFA"/>
    <w:rsid w:val="00032F1D"/>
    <w:rsid w:val="000335D0"/>
    <w:rsid w:val="0003433C"/>
    <w:rsid w:val="0003618D"/>
    <w:rsid w:val="00037B30"/>
    <w:rsid w:val="0004101B"/>
    <w:rsid w:val="00050BB0"/>
    <w:rsid w:val="00055B5F"/>
    <w:rsid w:val="000568B3"/>
    <w:rsid w:val="000569C1"/>
    <w:rsid w:val="00065572"/>
    <w:rsid w:val="00066A5B"/>
    <w:rsid w:val="000709F7"/>
    <w:rsid w:val="000746D9"/>
    <w:rsid w:val="00076A10"/>
    <w:rsid w:val="00080031"/>
    <w:rsid w:val="000830E5"/>
    <w:rsid w:val="000859D8"/>
    <w:rsid w:val="000868D1"/>
    <w:rsid w:val="00091CA7"/>
    <w:rsid w:val="00096E8A"/>
    <w:rsid w:val="00097F88"/>
    <w:rsid w:val="000A1726"/>
    <w:rsid w:val="000A213A"/>
    <w:rsid w:val="000A50A5"/>
    <w:rsid w:val="000B0A3A"/>
    <w:rsid w:val="000B1727"/>
    <w:rsid w:val="000B38BC"/>
    <w:rsid w:val="000C1EFE"/>
    <w:rsid w:val="000C23F2"/>
    <w:rsid w:val="000C255B"/>
    <w:rsid w:val="000C67AE"/>
    <w:rsid w:val="000D02E5"/>
    <w:rsid w:val="000E05DB"/>
    <w:rsid w:val="000E1537"/>
    <w:rsid w:val="000E349D"/>
    <w:rsid w:val="000E3ABE"/>
    <w:rsid w:val="000E4820"/>
    <w:rsid w:val="000E70E9"/>
    <w:rsid w:val="000E7465"/>
    <w:rsid w:val="000F097C"/>
    <w:rsid w:val="000F6867"/>
    <w:rsid w:val="00107A26"/>
    <w:rsid w:val="001341F7"/>
    <w:rsid w:val="001364D9"/>
    <w:rsid w:val="00137A49"/>
    <w:rsid w:val="00143316"/>
    <w:rsid w:val="00150CB4"/>
    <w:rsid w:val="0015217C"/>
    <w:rsid w:val="0015254F"/>
    <w:rsid w:val="00155CE3"/>
    <w:rsid w:val="00156DC8"/>
    <w:rsid w:val="00160837"/>
    <w:rsid w:val="00163224"/>
    <w:rsid w:val="0016511D"/>
    <w:rsid w:val="001653B6"/>
    <w:rsid w:val="001708B8"/>
    <w:rsid w:val="00170E04"/>
    <w:rsid w:val="00173A0F"/>
    <w:rsid w:val="0018048A"/>
    <w:rsid w:val="00182ED4"/>
    <w:rsid w:val="00182F17"/>
    <w:rsid w:val="0018337F"/>
    <w:rsid w:val="001931EC"/>
    <w:rsid w:val="001A1654"/>
    <w:rsid w:val="001A360A"/>
    <w:rsid w:val="001A595A"/>
    <w:rsid w:val="001B3F91"/>
    <w:rsid w:val="001B4206"/>
    <w:rsid w:val="001B50E0"/>
    <w:rsid w:val="001B7862"/>
    <w:rsid w:val="001C4E11"/>
    <w:rsid w:val="001C5F62"/>
    <w:rsid w:val="001D05CF"/>
    <w:rsid w:val="001D321D"/>
    <w:rsid w:val="001D7F92"/>
    <w:rsid w:val="001E101B"/>
    <w:rsid w:val="001E649F"/>
    <w:rsid w:val="001F73B7"/>
    <w:rsid w:val="00200210"/>
    <w:rsid w:val="002009F3"/>
    <w:rsid w:val="00204203"/>
    <w:rsid w:val="00213A6A"/>
    <w:rsid w:val="00215944"/>
    <w:rsid w:val="00216272"/>
    <w:rsid w:val="00217B9E"/>
    <w:rsid w:val="0022124C"/>
    <w:rsid w:val="00223C2F"/>
    <w:rsid w:val="002241E3"/>
    <w:rsid w:val="00240965"/>
    <w:rsid w:val="0025140E"/>
    <w:rsid w:val="00253BFD"/>
    <w:rsid w:val="002547A6"/>
    <w:rsid w:val="0025498D"/>
    <w:rsid w:val="00254CA5"/>
    <w:rsid w:val="0025607E"/>
    <w:rsid w:val="002628C5"/>
    <w:rsid w:val="002665E7"/>
    <w:rsid w:val="002726F7"/>
    <w:rsid w:val="002736DB"/>
    <w:rsid w:val="00274067"/>
    <w:rsid w:val="00277ABE"/>
    <w:rsid w:val="00284E68"/>
    <w:rsid w:val="002859B3"/>
    <w:rsid w:val="002909FC"/>
    <w:rsid w:val="00290A5B"/>
    <w:rsid w:val="00292DEF"/>
    <w:rsid w:val="0029554C"/>
    <w:rsid w:val="002975FA"/>
    <w:rsid w:val="002A22A7"/>
    <w:rsid w:val="002A305D"/>
    <w:rsid w:val="002A5D10"/>
    <w:rsid w:val="002A7A47"/>
    <w:rsid w:val="002B2E0B"/>
    <w:rsid w:val="002C16E9"/>
    <w:rsid w:val="002D184B"/>
    <w:rsid w:val="002D327E"/>
    <w:rsid w:val="002D7B79"/>
    <w:rsid w:val="002F0A0F"/>
    <w:rsid w:val="002F378B"/>
    <w:rsid w:val="00301D70"/>
    <w:rsid w:val="003027E0"/>
    <w:rsid w:val="003055BA"/>
    <w:rsid w:val="003079A6"/>
    <w:rsid w:val="003119ED"/>
    <w:rsid w:val="00316BAB"/>
    <w:rsid w:val="00320DD2"/>
    <w:rsid w:val="00321F33"/>
    <w:rsid w:val="00322EE8"/>
    <w:rsid w:val="00323E83"/>
    <w:rsid w:val="00330251"/>
    <w:rsid w:val="00332841"/>
    <w:rsid w:val="00332F72"/>
    <w:rsid w:val="00340D30"/>
    <w:rsid w:val="00354B88"/>
    <w:rsid w:val="00372168"/>
    <w:rsid w:val="003877D9"/>
    <w:rsid w:val="00390D1D"/>
    <w:rsid w:val="003917D0"/>
    <w:rsid w:val="00392647"/>
    <w:rsid w:val="003929CF"/>
    <w:rsid w:val="0039459E"/>
    <w:rsid w:val="003968E3"/>
    <w:rsid w:val="00397196"/>
    <w:rsid w:val="003A5B97"/>
    <w:rsid w:val="003A7634"/>
    <w:rsid w:val="003B55B8"/>
    <w:rsid w:val="003C20E8"/>
    <w:rsid w:val="003C4A9E"/>
    <w:rsid w:val="003C68A8"/>
    <w:rsid w:val="003D006E"/>
    <w:rsid w:val="003D0826"/>
    <w:rsid w:val="003D16C6"/>
    <w:rsid w:val="003D1AC4"/>
    <w:rsid w:val="003F1A87"/>
    <w:rsid w:val="003F3097"/>
    <w:rsid w:val="00406DA2"/>
    <w:rsid w:val="004114FF"/>
    <w:rsid w:val="00415721"/>
    <w:rsid w:val="004162C1"/>
    <w:rsid w:val="00417D41"/>
    <w:rsid w:val="00423692"/>
    <w:rsid w:val="004307A0"/>
    <w:rsid w:val="004314B4"/>
    <w:rsid w:val="00431B61"/>
    <w:rsid w:val="004325A9"/>
    <w:rsid w:val="004418ED"/>
    <w:rsid w:val="00442454"/>
    <w:rsid w:val="004433B1"/>
    <w:rsid w:val="004457EF"/>
    <w:rsid w:val="0045064D"/>
    <w:rsid w:val="00450934"/>
    <w:rsid w:val="00452C85"/>
    <w:rsid w:val="0045479C"/>
    <w:rsid w:val="004557B6"/>
    <w:rsid w:val="0045584E"/>
    <w:rsid w:val="004569AF"/>
    <w:rsid w:val="00457C61"/>
    <w:rsid w:val="0046718B"/>
    <w:rsid w:val="004703D9"/>
    <w:rsid w:val="00474F8B"/>
    <w:rsid w:val="004825FB"/>
    <w:rsid w:val="004952E3"/>
    <w:rsid w:val="00496495"/>
    <w:rsid w:val="004970DD"/>
    <w:rsid w:val="004A1FEC"/>
    <w:rsid w:val="004A2183"/>
    <w:rsid w:val="004A5DDF"/>
    <w:rsid w:val="004A7C80"/>
    <w:rsid w:val="004C4588"/>
    <w:rsid w:val="004C5D91"/>
    <w:rsid w:val="004D00F3"/>
    <w:rsid w:val="004D1420"/>
    <w:rsid w:val="004D48AB"/>
    <w:rsid w:val="004E0BF9"/>
    <w:rsid w:val="004E383A"/>
    <w:rsid w:val="004E5599"/>
    <w:rsid w:val="004E5AF5"/>
    <w:rsid w:val="004E78C0"/>
    <w:rsid w:val="004F0397"/>
    <w:rsid w:val="004F3428"/>
    <w:rsid w:val="00501A95"/>
    <w:rsid w:val="00501AB3"/>
    <w:rsid w:val="00502573"/>
    <w:rsid w:val="005109E8"/>
    <w:rsid w:val="005127E3"/>
    <w:rsid w:val="00515601"/>
    <w:rsid w:val="00516391"/>
    <w:rsid w:val="00523F95"/>
    <w:rsid w:val="005250CD"/>
    <w:rsid w:val="00534839"/>
    <w:rsid w:val="005374B2"/>
    <w:rsid w:val="005402D8"/>
    <w:rsid w:val="00541BC8"/>
    <w:rsid w:val="005446AE"/>
    <w:rsid w:val="0055258E"/>
    <w:rsid w:val="005525CC"/>
    <w:rsid w:val="0055736F"/>
    <w:rsid w:val="00557F1B"/>
    <w:rsid w:val="00571868"/>
    <w:rsid w:val="00573C43"/>
    <w:rsid w:val="00573F7A"/>
    <w:rsid w:val="0057543C"/>
    <w:rsid w:val="00581D97"/>
    <w:rsid w:val="0058277A"/>
    <w:rsid w:val="00583562"/>
    <w:rsid w:val="00591497"/>
    <w:rsid w:val="005A3D3C"/>
    <w:rsid w:val="005B2DB1"/>
    <w:rsid w:val="005B4DF0"/>
    <w:rsid w:val="005B5E9F"/>
    <w:rsid w:val="005B5F82"/>
    <w:rsid w:val="005B6470"/>
    <w:rsid w:val="005B79E2"/>
    <w:rsid w:val="005C4E35"/>
    <w:rsid w:val="005C79F9"/>
    <w:rsid w:val="005C7BEB"/>
    <w:rsid w:val="005D1CCF"/>
    <w:rsid w:val="005D448C"/>
    <w:rsid w:val="005D52F1"/>
    <w:rsid w:val="005D579C"/>
    <w:rsid w:val="005E0BE2"/>
    <w:rsid w:val="005E6575"/>
    <w:rsid w:val="005E6FAD"/>
    <w:rsid w:val="005F1E9C"/>
    <w:rsid w:val="005F2586"/>
    <w:rsid w:val="005F79F9"/>
    <w:rsid w:val="00604374"/>
    <w:rsid w:val="00607ADB"/>
    <w:rsid w:val="00612A3B"/>
    <w:rsid w:val="00612E32"/>
    <w:rsid w:val="006243B1"/>
    <w:rsid w:val="0062576E"/>
    <w:rsid w:val="00627124"/>
    <w:rsid w:val="00631410"/>
    <w:rsid w:val="00631E1E"/>
    <w:rsid w:val="00635430"/>
    <w:rsid w:val="00641529"/>
    <w:rsid w:val="00646917"/>
    <w:rsid w:val="00647D08"/>
    <w:rsid w:val="00651B19"/>
    <w:rsid w:val="00653D06"/>
    <w:rsid w:val="006574E6"/>
    <w:rsid w:val="006622BA"/>
    <w:rsid w:val="006714AF"/>
    <w:rsid w:val="006714FB"/>
    <w:rsid w:val="00671936"/>
    <w:rsid w:val="0067639C"/>
    <w:rsid w:val="0068161A"/>
    <w:rsid w:val="00682D9E"/>
    <w:rsid w:val="00683ABE"/>
    <w:rsid w:val="00690038"/>
    <w:rsid w:val="006933F8"/>
    <w:rsid w:val="00695CFA"/>
    <w:rsid w:val="006A16F9"/>
    <w:rsid w:val="006A4325"/>
    <w:rsid w:val="006B2B68"/>
    <w:rsid w:val="006B4FF1"/>
    <w:rsid w:val="006B57CC"/>
    <w:rsid w:val="006D1834"/>
    <w:rsid w:val="006D1F35"/>
    <w:rsid w:val="006D2521"/>
    <w:rsid w:val="006D3D3B"/>
    <w:rsid w:val="006D645F"/>
    <w:rsid w:val="006E1F8E"/>
    <w:rsid w:val="006E33EC"/>
    <w:rsid w:val="006E7E5C"/>
    <w:rsid w:val="006F3470"/>
    <w:rsid w:val="006F387C"/>
    <w:rsid w:val="00700560"/>
    <w:rsid w:val="0070309F"/>
    <w:rsid w:val="007033D1"/>
    <w:rsid w:val="00705E33"/>
    <w:rsid w:val="007069DC"/>
    <w:rsid w:val="00713E9F"/>
    <w:rsid w:val="00716EC7"/>
    <w:rsid w:val="00717AF3"/>
    <w:rsid w:val="00721451"/>
    <w:rsid w:val="00723857"/>
    <w:rsid w:val="00731AEE"/>
    <w:rsid w:val="007365C3"/>
    <w:rsid w:val="00741785"/>
    <w:rsid w:val="00742BDE"/>
    <w:rsid w:val="007437DB"/>
    <w:rsid w:val="00746734"/>
    <w:rsid w:val="00747346"/>
    <w:rsid w:val="00754482"/>
    <w:rsid w:val="007549C2"/>
    <w:rsid w:val="00754CB8"/>
    <w:rsid w:val="0076185E"/>
    <w:rsid w:val="007722D0"/>
    <w:rsid w:val="00772D2C"/>
    <w:rsid w:val="007734E5"/>
    <w:rsid w:val="00776349"/>
    <w:rsid w:val="00780B8C"/>
    <w:rsid w:val="007823BE"/>
    <w:rsid w:val="0078590C"/>
    <w:rsid w:val="00795B2C"/>
    <w:rsid w:val="0079722F"/>
    <w:rsid w:val="007B43EB"/>
    <w:rsid w:val="007B54E7"/>
    <w:rsid w:val="007B6765"/>
    <w:rsid w:val="007B7DEE"/>
    <w:rsid w:val="007C134B"/>
    <w:rsid w:val="007C2F86"/>
    <w:rsid w:val="007C3CBD"/>
    <w:rsid w:val="007C790C"/>
    <w:rsid w:val="007C7CA5"/>
    <w:rsid w:val="007D05A4"/>
    <w:rsid w:val="007D3C50"/>
    <w:rsid w:val="007E17B5"/>
    <w:rsid w:val="007E4D83"/>
    <w:rsid w:val="007F3C66"/>
    <w:rsid w:val="007F4D59"/>
    <w:rsid w:val="007F5339"/>
    <w:rsid w:val="007F6459"/>
    <w:rsid w:val="008049E1"/>
    <w:rsid w:val="00805201"/>
    <w:rsid w:val="00806326"/>
    <w:rsid w:val="00806458"/>
    <w:rsid w:val="00807827"/>
    <w:rsid w:val="0081079E"/>
    <w:rsid w:val="008169EE"/>
    <w:rsid w:val="008207C3"/>
    <w:rsid w:val="00825864"/>
    <w:rsid w:val="0084278D"/>
    <w:rsid w:val="00857D00"/>
    <w:rsid w:val="00863DCE"/>
    <w:rsid w:val="0087545C"/>
    <w:rsid w:val="008769CF"/>
    <w:rsid w:val="00890169"/>
    <w:rsid w:val="008A4171"/>
    <w:rsid w:val="008A62B7"/>
    <w:rsid w:val="008A68E2"/>
    <w:rsid w:val="008C4D39"/>
    <w:rsid w:val="008C5D11"/>
    <w:rsid w:val="008C5FD5"/>
    <w:rsid w:val="008D0089"/>
    <w:rsid w:val="008D0453"/>
    <w:rsid w:val="008D1014"/>
    <w:rsid w:val="008D1F63"/>
    <w:rsid w:val="008D324B"/>
    <w:rsid w:val="008D32B1"/>
    <w:rsid w:val="008E182C"/>
    <w:rsid w:val="008E19C8"/>
    <w:rsid w:val="008E5C0E"/>
    <w:rsid w:val="008F6E01"/>
    <w:rsid w:val="00900740"/>
    <w:rsid w:val="00900E75"/>
    <w:rsid w:val="00907943"/>
    <w:rsid w:val="00907F1D"/>
    <w:rsid w:val="00911B3D"/>
    <w:rsid w:val="009147FB"/>
    <w:rsid w:val="00916097"/>
    <w:rsid w:val="0091617D"/>
    <w:rsid w:val="00921298"/>
    <w:rsid w:val="00921DE7"/>
    <w:rsid w:val="00921F92"/>
    <w:rsid w:val="00926873"/>
    <w:rsid w:val="00934D84"/>
    <w:rsid w:val="00941272"/>
    <w:rsid w:val="00944E70"/>
    <w:rsid w:val="00955F46"/>
    <w:rsid w:val="00957127"/>
    <w:rsid w:val="009672FB"/>
    <w:rsid w:val="009712E1"/>
    <w:rsid w:val="00975AA2"/>
    <w:rsid w:val="00993EB3"/>
    <w:rsid w:val="00993EC3"/>
    <w:rsid w:val="009A0492"/>
    <w:rsid w:val="009A4D8D"/>
    <w:rsid w:val="009A6762"/>
    <w:rsid w:val="009B72C4"/>
    <w:rsid w:val="009C1AD2"/>
    <w:rsid w:val="009C5E9E"/>
    <w:rsid w:val="009D2899"/>
    <w:rsid w:val="009D4709"/>
    <w:rsid w:val="009E014E"/>
    <w:rsid w:val="009E1F53"/>
    <w:rsid w:val="009E23FF"/>
    <w:rsid w:val="009E65C7"/>
    <w:rsid w:val="009E6A74"/>
    <w:rsid w:val="009E7444"/>
    <w:rsid w:val="009F3737"/>
    <w:rsid w:val="00A0351C"/>
    <w:rsid w:val="00A05A27"/>
    <w:rsid w:val="00A11E6E"/>
    <w:rsid w:val="00A13246"/>
    <w:rsid w:val="00A1622B"/>
    <w:rsid w:val="00A20289"/>
    <w:rsid w:val="00A21A3C"/>
    <w:rsid w:val="00A23BC2"/>
    <w:rsid w:val="00A25AE6"/>
    <w:rsid w:val="00A276AC"/>
    <w:rsid w:val="00A34FE8"/>
    <w:rsid w:val="00A41DFE"/>
    <w:rsid w:val="00A42F11"/>
    <w:rsid w:val="00A435E0"/>
    <w:rsid w:val="00A4511B"/>
    <w:rsid w:val="00A47FCA"/>
    <w:rsid w:val="00A506B0"/>
    <w:rsid w:val="00A55A5A"/>
    <w:rsid w:val="00A653AA"/>
    <w:rsid w:val="00A702F3"/>
    <w:rsid w:val="00A7204D"/>
    <w:rsid w:val="00A72F30"/>
    <w:rsid w:val="00A75685"/>
    <w:rsid w:val="00A75DC5"/>
    <w:rsid w:val="00A76E14"/>
    <w:rsid w:val="00A77DB0"/>
    <w:rsid w:val="00A77E5C"/>
    <w:rsid w:val="00A8427A"/>
    <w:rsid w:val="00A84C0A"/>
    <w:rsid w:val="00A90DD7"/>
    <w:rsid w:val="00A934A6"/>
    <w:rsid w:val="00AA2261"/>
    <w:rsid w:val="00AA2DD1"/>
    <w:rsid w:val="00AA7A1E"/>
    <w:rsid w:val="00AB06DB"/>
    <w:rsid w:val="00AC7603"/>
    <w:rsid w:val="00AD5860"/>
    <w:rsid w:val="00AD7F3C"/>
    <w:rsid w:val="00AE0BBF"/>
    <w:rsid w:val="00AE23AB"/>
    <w:rsid w:val="00AE3106"/>
    <w:rsid w:val="00AF1146"/>
    <w:rsid w:val="00AF7BF7"/>
    <w:rsid w:val="00B0115E"/>
    <w:rsid w:val="00B01FA2"/>
    <w:rsid w:val="00B13928"/>
    <w:rsid w:val="00B1594F"/>
    <w:rsid w:val="00B164A5"/>
    <w:rsid w:val="00B20E1B"/>
    <w:rsid w:val="00B23D11"/>
    <w:rsid w:val="00B24DFD"/>
    <w:rsid w:val="00B27EE4"/>
    <w:rsid w:val="00B302D7"/>
    <w:rsid w:val="00B33310"/>
    <w:rsid w:val="00B33789"/>
    <w:rsid w:val="00B37B2C"/>
    <w:rsid w:val="00B426B8"/>
    <w:rsid w:val="00B52635"/>
    <w:rsid w:val="00B52D1C"/>
    <w:rsid w:val="00B535E4"/>
    <w:rsid w:val="00B571B8"/>
    <w:rsid w:val="00B6025C"/>
    <w:rsid w:val="00B64D6C"/>
    <w:rsid w:val="00B72DA3"/>
    <w:rsid w:val="00B737C3"/>
    <w:rsid w:val="00B77578"/>
    <w:rsid w:val="00B779B4"/>
    <w:rsid w:val="00B77C89"/>
    <w:rsid w:val="00B80DAE"/>
    <w:rsid w:val="00B842AC"/>
    <w:rsid w:val="00B857C3"/>
    <w:rsid w:val="00B91DAC"/>
    <w:rsid w:val="00B926F5"/>
    <w:rsid w:val="00B928A7"/>
    <w:rsid w:val="00B95DD2"/>
    <w:rsid w:val="00BC0214"/>
    <w:rsid w:val="00BC177B"/>
    <w:rsid w:val="00BC2031"/>
    <w:rsid w:val="00BC2A4D"/>
    <w:rsid w:val="00BC430D"/>
    <w:rsid w:val="00BC4594"/>
    <w:rsid w:val="00BD0BC5"/>
    <w:rsid w:val="00BD4CA2"/>
    <w:rsid w:val="00BD56DC"/>
    <w:rsid w:val="00BD5AE4"/>
    <w:rsid w:val="00BD6BC5"/>
    <w:rsid w:val="00BD6EB8"/>
    <w:rsid w:val="00BE0CA9"/>
    <w:rsid w:val="00BE4E57"/>
    <w:rsid w:val="00BE50D2"/>
    <w:rsid w:val="00BE577F"/>
    <w:rsid w:val="00BE5C4C"/>
    <w:rsid w:val="00BE6293"/>
    <w:rsid w:val="00BF3BF3"/>
    <w:rsid w:val="00C05A9F"/>
    <w:rsid w:val="00C07272"/>
    <w:rsid w:val="00C152A5"/>
    <w:rsid w:val="00C17529"/>
    <w:rsid w:val="00C325FC"/>
    <w:rsid w:val="00C328AC"/>
    <w:rsid w:val="00C333BE"/>
    <w:rsid w:val="00C34C5A"/>
    <w:rsid w:val="00C3692B"/>
    <w:rsid w:val="00C4256A"/>
    <w:rsid w:val="00C436BF"/>
    <w:rsid w:val="00C525B2"/>
    <w:rsid w:val="00C56A1E"/>
    <w:rsid w:val="00C56A38"/>
    <w:rsid w:val="00C61C28"/>
    <w:rsid w:val="00C6554A"/>
    <w:rsid w:val="00C736E1"/>
    <w:rsid w:val="00C77E82"/>
    <w:rsid w:val="00C807D7"/>
    <w:rsid w:val="00C823A9"/>
    <w:rsid w:val="00C837CE"/>
    <w:rsid w:val="00C84155"/>
    <w:rsid w:val="00C90D48"/>
    <w:rsid w:val="00C921DA"/>
    <w:rsid w:val="00C93307"/>
    <w:rsid w:val="00C97719"/>
    <w:rsid w:val="00CA4135"/>
    <w:rsid w:val="00CA443B"/>
    <w:rsid w:val="00CB115C"/>
    <w:rsid w:val="00CB1592"/>
    <w:rsid w:val="00CB1687"/>
    <w:rsid w:val="00CB329A"/>
    <w:rsid w:val="00CB7DAC"/>
    <w:rsid w:val="00CC20CF"/>
    <w:rsid w:val="00CC3005"/>
    <w:rsid w:val="00CC774D"/>
    <w:rsid w:val="00CD0582"/>
    <w:rsid w:val="00CD2462"/>
    <w:rsid w:val="00CD550C"/>
    <w:rsid w:val="00CD6C64"/>
    <w:rsid w:val="00CE2154"/>
    <w:rsid w:val="00CE59F9"/>
    <w:rsid w:val="00CF03D4"/>
    <w:rsid w:val="00CF45D8"/>
    <w:rsid w:val="00CF52E9"/>
    <w:rsid w:val="00CF70CD"/>
    <w:rsid w:val="00D011AD"/>
    <w:rsid w:val="00D04E6A"/>
    <w:rsid w:val="00D10A9C"/>
    <w:rsid w:val="00D13050"/>
    <w:rsid w:val="00D23526"/>
    <w:rsid w:val="00D30422"/>
    <w:rsid w:val="00D331F4"/>
    <w:rsid w:val="00D35812"/>
    <w:rsid w:val="00D35E2E"/>
    <w:rsid w:val="00D364FE"/>
    <w:rsid w:val="00D3786B"/>
    <w:rsid w:val="00D4168D"/>
    <w:rsid w:val="00D5351E"/>
    <w:rsid w:val="00D61AC1"/>
    <w:rsid w:val="00D65E60"/>
    <w:rsid w:val="00D752F5"/>
    <w:rsid w:val="00D756A2"/>
    <w:rsid w:val="00D83A7C"/>
    <w:rsid w:val="00D83B4A"/>
    <w:rsid w:val="00D844EB"/>
    <w:rsid w:val="00D90B33"/>
    <w:rsid w:val="00DA459B"/>
    <w:rsid w:val="00DA7739"/>
    <w:rsid w:val="00DB61F0"/>
    <w:rsid w:val="00DB637C"/>
    <w:rsid w:val="00DB703E"/>
    <w:rsid w:val="00DC1599"/>
    <w:rsid w:val="00DC360C"/>
    <w:rsid w:val="00DC6479"/>
    <w:rsid w:val="00DC6C92"/>
    <w:rsid w:val="00DD1A16"/>
    <w:rsid w:val="00DD58C3"/>
    <w:rsid w:val="00DE794C"/>
    <w:rsid w:val="00E00F3A"/>
    <w:rsid w:val="00E05E10"/>
    <w:rsid w:val="00E1058D"/>
    <w:rsid w:val="00E17932"/>
    <w:rsid w:val="00E209B6"/>
    <w:rsid w:val="00E20EA3"/>
    <w:rsid w:val="00E236E2"/>
    <w:rsid w:val="00E2387F"/>
    <w:rsid w:val="00E26CE1"/>
    <w:rsid w:val="00E35004"/>
    <w:rsid w:val="00E37F1D"/>
    <w:rsid w:val="00E40CF9"/>
    <w:rsid w:val="00E414D6"/>
    <w:rsid w:val="00E46907"/>
    <w:rsid w:val="00E47848"/>
    <w:rsid w:val="00E576FC"/>
    <w:rsid w:val="00E631D9"/>
    <w:rsid w:val="00E63BB4"/>
    <w:rsid w:val="00E66B9C"/>
    <w:rsid w:val="00E71E26"/>
    <w:rsid w:val="00E80781"/>
    <w:rsid w:val="00E81CA0"/>
    <w:rsid w:val="00E83FC5"/>
    <w:rsid w:val="00E84085"/>
    <w:rsid w:val="00E90D6C"/>
    <w:rsid w:val="00EA4615"/>
    <w:rsid w:val="00EB2029"/>
    <w:rsid w:val="00EB420A"/>
    <w:rsid w:val="00EB7E16"/>
    <w:rsid w:val="00EC6451"/>
    <w:rsid w:val="00EC64E6"/>
    <w:rsid w:val="00ED2328"/>
    <w:rsid w:val="00EE4736"/>
    <w:rsid w:val="00EE6804"/>
    <w:rsid w:val="00EE6A35"/>
    <w:rsid w:val="00EF3EA3"/>
    <w:rsid w:val="00EF408F"/>
    <w:rsid w:val="00EF5060"/>
    <w:rsid w:val="00EF54A6"/>
    <w:rsid w:val="00EF6510"/>
    <w:rsid w:val="00F01683"/>
    <w:rsid w:val="00F05315"/>
    <w:rsid w:val="00F06614"/>
    <w:rsid w:val="00F07ED0"/>
    <w:rsid w:val="00F1008A"/>
    <w:rsid w:val="00F12364"/>
    <w:rsid w:val="00F218A0"/>
    <w:rsid w:val="00F22E57"/>
    <w:rsid w:val="00F23EEB"/>
    <w:rsid w:val="00F25D52"/>
    <w:rsid w:val="00F34AC0"/>
    <w:rsid w:val="00F34BC3"/>
    <w:rsid w:val="00F35D91"/>
    <w:rsid w:val="00F51620"/>
    <w:rsid w:val="00F53864"/>
    <w:rsid w:val="00F61E2E"/>
    <w:rsid w:val="00F67245"/>
    <w:rsid w:val="00F708AB"/>
    <w:rsid w:val="00F74FD9"/>
    <w:rsid w:val="00F76F37"/>
    <w:rsid w:val="00F772DB"/>
    <w:rsid w:val="00F7741F"/>
    <w:rsid w:val="00F80CDF"/>
    <w:rsid w:val="00F82F8F"/>
    <w:rsid w:val="00F8625D"/>
    <w:rsid w:val="00F92BBD"/>
    <w:rsid w:val="00F92DBD"/>
    <w:rsid w:val="00F97142"/>
    <w:rsid w:val="00F97377"/>
    <w:rsid w:val="00FA0DEB"/>
    <w:rsid w:val="00FA1956"/>
    <w:rsid w:val="00FA2BD0"/>
    <w:rsid w:val="00FA4442"/>
    <w:rsid w:val="00FA6DD8"/>
    <w:rsid w:val="00FA701A"/>
    <w:rsid w:val="00FA7F38"/>
    <w:rsid w:val="00FB0D7C"/>
    <w:rsid w:val="00FB2EEE"/>
    <w:rsid w:val="00FC1759"/>
    <w:rsid w:val="00FD1E8B"/>
    <w:rsid w:val="00FD3819"/>
    <w:rsid w:val="00FD3AB1"/>
    <w:rsid w:val="00FD410E"/>
    <w:rsid w:val="00FD6577"/>
    <w:rsid w:val="00FD7664"/>
    <w:rsid w:val="00FE1333"/>
    <w:rsid w:val="00FE2CFF"/>
    <w:rsid w:val="00FE509E"/>
    <w:rsid w:val="00FF2346"/>
    <w:rsid w:val="00FF29E5"/>
    <w:rsid w:val="00FF3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C0255C-5AE3-4EE6-B567-D469352F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94C"/>
    <w:rPr>
      <w:sz w:val="24"/>
      <w:szCs w:val="24"/>
    </w:rPr>
  </w:style>
  <w:style w:type="paragraph" w:styleId="Nadpis3">
    <w:name w:val="heading 3"/>
    <w:basedOn w:val="Normln"/>
    <w:next w:val="Normln"/>
    <w:qFormat/>
    <w:rsid w:val="00B857C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E1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E17932"/>
    <w:rPr>
      <w:color w:val="0000FF"/>
      <w:u w:val="single"/>
    </w:rPr>
  </w:style>
  <w:style w:type="paragraph" w:styleId="Zpat">
    <w:name w:val="footer"/>
    <w:basedOn w:val="Normln"/>
    <w:rsid w:val="005B5F82"/>
    <w:pPr>
      <w:tabs>
        <w:tab w:val="center" w:pos="4536"/>
        <w:tab w:val="right" w:pos="9072"/>
      </w:tabs>
    </w:pPr>
  </w:style>
  <w:style w:type="character" w:styleId="slostrnky">
    <w:name w:val="page number"/>
    <w:basedOn w:val="Standardnpsmoodstavce"/>
    <w:rsid w:val="005B5F82"/>
  </w:style>
  <w:style w:type="paragraph" w:styleId="Zhlav">
    <w:name w:val="header"/>
    <w:basedOn w:val="Normln"/>
    <w:rsid w:val="005B5F82"/>
    <w:pPr>
      <w:tabs>
        <w:tab w:val="center" w:pos="4536"/>
        <w:tab w:val="right" w:pos="9072"/>
      </w:tabs>
    </w:pPr>
  </w:style>
  <w:style w:type="paragraph" w:customStyle="1" w:styleId="Default">
    <w:name w:val="Default"/>
    <w:rsid w:val="004433B1"/>
    <w:pPr>
      <w:autoSpaceDE w:val="0"/>
      <w:autoSpaceDN w:val="0"/>
      <w:adjustRightInd w:val="0"/>
    </w:pPr>
    <w:rPr>
      <w:rFonts w:ascii="Calibri" w:hAnsi="Calibri" w:cs="Calibri"/>
      <w:color w:val="000000"/>
      <w:sz w:val="24"/>
      <w:szCs w:val="24"/>
    </w:rPr>
  </w:style>
  <w:style w:type="paragraph" w:styleId="Textbubliny">
    <w:name w:val="Balloon Text"/>
    <w:basedOn w:val="Normln"/>
    <w:semiHidden/>
    <w:rsid w:val="00806458"/>
    <w:rPr>
      <w:rFonts w:ascii="Tahoma" w:hAnsi="Tahoma" w:cs="Tahoma"/>
      <w:sz w:val="16"/>
      <w:szCs w:val="16"/>
    </w:rPr>
  </w:style>
  <w:style w:type="paragraph" w:customStyle="1" w:styleId="Vchoz">
    <w:name w:val="Výchozí"/>
    <w:rsid w:val="00607ADB"/>
    <w:pPr>
      <w:tabs>
        <w:tab w:val="left" w:pos="708"/>
      </w:tabs>
      <w:suppressAutoHyphens/>
      <w:spacing w:line="100" w:lineRule="atLeast"/>
      <w:jc w:val="both"/>
    </w:pPr>
    <w:rPr>
      <w:rFonts w:ascii="Liberation Serif" w:eastAsia="DejaVu Sans" w:hAnsi="Liberation Serif"/>
      <w:color w:val="00000A"/>
      <w:sz w:val="24"/>
      <w:szCs w:val="22"/>
    </w:rPr>
  </w:style>
  <w:style w:type="paragraph" w:styleId="Textpoznpodarou">
    <w:name w:val="footnote text"/>
    <w:basedOn w:val="Normln"/>
    <w:link w:val="TextpoznpodarouChar"/>
    <w:uiPriority w:val="99"/>
    <w:rsid w:val="008D0089"/>
    <w:rPr>
      <w:sz w:val="20"/>
      <w:szCs w:val="20"/>
    </w:rPr>
  </w:style>
  <w:style w:type="character" w:customStyle="1" w:styleId="TextpoznpodarouChar">
    <w:name w:val="Text pozn. pod čarou Char"/>
    <w:basedOn w:val="Standardnpsmoodstavce"/>
    <w:link w:val="Textpoznpodarou"/>
    <w:uiPriority w:val="99"/>
    <w:rsid w:val="008D0089"/>
  </w:style>
  <w:style w:type="character" w:styleId="Znakapoznpodarou">
    <w:name w:val="footnote reference"/>
    <w:uiPriority w:val="99"/>
    <w:rsid w:val="008D0089"/>
    <w:rPr>
      <w:vertAlign w:val="superscript"/>
    </w:rPr>
  </w:style>
  <w:style w:type="character" w:styleId="Sledovanodkaz">
    <w:name w:val="FollowedHyperlink"/>
    <w:semiHidden/>
    <w:unhideWhenUsed/>
    <w:rsid w:val="00B164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6481">
      <w:bodyDiv w:val="1"/>
      <w:marLeft w:val="0"/>
      <w:marRight w:val="0"/>
      <w:marTop w:val="0"/>
      <w:marBottom w:val="0"/>
      <w:divBdr>
        <w:top w:val="none" w:sz="0" w:space="0" w:color="auto"/>
        <w:left w:val="none" w:sz="0" w:space="0" w:color="auto"/>
        <w:bottom w:val="none" w:sz="0" w:space="0" w:color="auto"/>
        <w:right w:val="none" w:sz="0" w:space="0" w:color="auto"/>
      </w:divBdr>
    </w:div>
    <w:div w:id="362441975">
      <w:bodyDiv w:val="1"/>
      <w:marLeft w:val="0"/>
      <w:marRight w:val="0"/>
      <w:marTop w:val="0"/>
      <w:marBottom w:val="0"/>
      <w:divBdr>
        <w:top w:val="none" w:sz="0" w:space="0" w:color="auto"/>
        <w:left w:val="none" w:sz="0" w:space="0" w:color="auto"/>
        <w:bottom w:val="none" w:sz="0" w:space="0" w:color="auto"/>
        <w:right w:val="none" w:sz="0" w:space="0" w:color="auto"/>
      </w:divBdr>
    </w:div>
    <w:div w:id="744375233">
      <w:bodyDiv w:val="1"/>
      <w:marLeft w:val="0"/>
      <w:marRight w:val="0"/>
      <w:marTop w:val="0"/>
      <w:marBottom w:val="0"/>
      <w:divBdr>
        <w:top w:val="none" w:sz="0" w:space="0" w:color="auto"/>
        <w:left w:val="none" w:sz="0" w:space="0" w:color="auto"/>
        <w:bottom w:val="none" w:sz="0" w:space="0" w:color="auto"/>
        <w:right w:val="none" w:sz="0" w:space="0" w:color="auto"/>
      </w:divBdr>
    </w:div>
    <w:div w:id="945306224">
      <w:bodyDiv w:val="1"/>
      <w:marLeft w:val="0"/>
      <w:marRight w:val="0"/>
      <w:marTop w:val="0"/>
      <w:marBottom w:val="0"/>
      <w:divBdr>
        <w:top w:val="none" w:sz="0" w:space="0" w:color="auto"/>
        <w:left w:val="none" w:sz="0" w:space="0" w:color="auto"/>
        <w:bottom w:val="none" w:sz="0" w:space="0" w:color="auto"/>
        <w:right w:val="none" w:sz="0" w:space="0" w:color="auto"/>
      </w:divBdr>
    </w:div>
    <w:div w:id="1163468556">
      <w:bodyDiv w:val="1"/>
      <w:marLeft w:val="0"/>
      <w:marRight w:val="0"/>
      <w:marTop w:val="0"/>
      <w:marBottom w:val="0"/>
      <w:divBdr>
        <w:top w:val="none" w:sz="0" w:space="0" w:color="auto"/>
        <w:left w:val="none" w:sz="0" w:space="0" w:color="auto"/>
        <w:bottom w:val="none" w:sz="0" w:space="0" w:color="auto"/>
        <w:right w:val="none" w:sz="0" w:space="0" w:color="auto"/>
      </w:divBdr>
    </w:div>
    <w:div w:id="18539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oop_04-03_2006-03_uplne_zneni_12-20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u.cz/cs/download/oop/oop_04/oop_04-03_2006-03.pdf" TargetMode="External"/><Relationship Id="rId12" Type="http://schemas.openxmlformats.org/officeDocument/2006/relationships/hyperlink" Target="http://ec.europa.eu/smart-regulation/impact/ia_carried_out/docs/ia_2009/sec_2009_0600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tu.cz/cs/download/oop/oop_04/oop_04-03_2006-03_uplne_zneni_12-201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tu.cz/cs/download/oop/oop_04/oop_04-03_2006-03.pdf" TargetMode="External"/><Relationship Id="rId4" Type="http://schemas.openxmlformats.org/officeDocument/2006/relationships/webSettings" Target="webSettings.xml"/><Relationship Id="rId9" Type="http://schemas.openxmlformats.org/officeDocument/2006/relationships/hyperlink" Target="http://ec.europa.eu/smart-regulation/impact/ia_carried_out/docs/ia_2009/sec_2009_0600_en.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2012:172:0010:0035:CS:PDF" TargetMode="External"/><Relationship Id="rId2" Type="http://schemas.openxmlformats.org/officeDocument/2006/relationships/hyperlink" Target="http://www.ctu.cz/cs/download/art/oop/rozhodnuti/oop_art-07-12_2013-09.pdf" TargetMode="External"/><Relationship Id="rId1" Type="http://schemas.openxmlformats.org/officeDocument/2006/relationships/hyperlink" Target="http://ec.europa.eu/smart-regulation/impact/ia_carried_out/docs/ia_2009/sec_2009_0600_en.pdf" TargetMode="External"/><Relationship Id="rId4" Type="http://schemas.openxmlformats.org/officeDocument/2006/relationships/hyperlink" Target="http://www.ctu.cz/cs/download/art/oop/rozhodnuti/oop_art-07-12_2013-09.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7702-6CD2-468C-AB7B-8EF0919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6DAE13EE</Template>
  <TotalTime>7</TotalTime>
  <Pages>21</Pages>
  <Words>5931</Words>
  <Characters>34995</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Tabulka vypořádání připomínek z veřejné konzultace k návrhu rozhodnutí o ceně CEN/7/04</vt:lpstr>
    </vt:vector>
  </TitlesOfParts>
  <Company>CTU</Company>
  <LinksUpToDate>false</LinksUpToDate>
  <CharactersWithSpaces>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Tabulka vypořádání připomínek z veřejné konzultace k návrhu rozhodnutí o ceně CEN/7/04</dc:title>
  <dc:subject/>
  <dc:creator>Admin</dc:creator>
  <cp:keywords/>
  <cp:lastModifiedBy>VOREL Zdeněk</cp:lastModifiedBy>
  <cp:revision>25</cp:revision>
  <dcterms:created xsi:type="dcterms:W3CDTF">2014-04-11T06:35:00Z</dcterms:created>
  <dcterms:modified xsi:type="dcterms:W3CDTF">2014-04-11T12:56:00Z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or">
    <vt:lpwstr>611</vt:lpwstr>
  </property>
  <property fmtid="{D5CDD505-2E9C-101B-9397-08002B2CF9AE}" pid="3" name="Číslo protokolu">
    <vt:lpwstr/>
  </property>
  <property fmtid="{D5CDD505-2E9C-101B-9397-08002B2CF9AE}" pid="4" name="Bod jednání">
    <vt:lpwstr>1</vt:lpwstr>
  </property>
  <property fmtid="{D5CDD505-2E9C-101B-9397-08002B2CF9AE}" pid="5" name="čj">
    <vt:lpwstr>2012.60</vt:lpwstr>
  </property>
  <property fmtid="{D5CDD505-2E9C-101B-9397-08002B2CF9AE}" pid="6" name="Obsah">
    <vt:lpwstr>CEN 7</vt:lpwstr>
  </property>
  <property fmtid="{D5CDD505-2E9C-101B-9397-08002B2CF9AE}" pid="7" name="Datum zasedání">
    <vt:lpwstr>2012-10-31T00:00:00Z</vt:lpwstr>
  </property>
  <property fmtid="{D5CDD505-2E9C-101B-9397-08002B2CF9AE}" pid="8" name="ContentType">
    <vt:lpwstr>Dokument</vt:lpwstr>
  </property>
  <property fmtid="{D5CDD505-2E9C-101B-9397-08002B2CF9AE}" pid="9" name="Stav projednávání">
    <vt:lpwstr/>
  </property>
</Properties>
</file>