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684" w:rsidRDefault="00823518" w:rsidP="00A27C6F">
      <w:pPr>
        <w:spacing w:before="120"/>
        <w:jc w:val="center"/>
      </w:pPr>
      <w:r w:rsidRPr="00823518">
        <w:rPr>
          <w:b/>
        </w:rPr>
        <w:t>NÁVRH</w:t>
      </w:r>
    </w:p>
    <w:p w:rsidR="003F1BEC" w:rsidRDefault="003F1BEC" w:rsidP="00A27C6F">
      <w:pPr>
        <w:spacing w:before="1080"/>
        <w:ind w:left="6379"/>
      </w:pPr>
      <w:r>
        <w:t>Praha</w:t>
      </w:r>
      <w:r w:rsidR="003D7F5B">
        <w:t xml:space="preserve"> </w:t>
      </w:r>
      <w:r w:rsidR="009F60E1" w:rsidRPr="00BD37D0">
        <w:t xml:space="preserve">XX. </w:t>
      </w:r>
      <w:r w:rsidR="00EB0D3F" w:rsidRPr="00BD37D0">
        <w:t>XXX</w:t>
      </w:r>
      <w:r w:rsidR="00C01BC4" w:rsidRPr="00BD37D0">
        <w:t>X</w:t>
      </w:r>
      <w:r w:rsidR="006252B5" w:rsidRPr="005A504F">
        <w:t xml:space="preserve"> </w:t>
      </w:r>
      <w:r w:rsidR="00545792" w:rsidRPr="005A504F">
        <w:t>20</w:t>
      </w:r>
      <w:r w:rsidR="00204D00" w:rsidRPr="005A504F">
        <w:t>1</w:t>
      </w:r>
      <w:r w:rsidR="00297488" w:rsidRPr="005A504F">
        <w:t>5</w:t>
      </w:r>
    </w:p>
    <w:p w:rsidR="005C5882" w:rsidRDefault="003F1BEC" w:rsidP="00A27C6F">
      <w:pPr>
        <w:ind w:left="6379"/>
      </w:pPr>
      <w:r>
        <w:t xml:space="preserve">Čj. </w:t>
      </w:r>
      <w:r w:rsidR="004104B5">
        <w:t>ČTÚ-</w:t>
      </w:r>
      <w:r w:rsidR="00325943">
        <w:t>1 849</w:t>
      </w:r>
      <w:r w:rsidR="00E92559" w:rsidRPr="005A504F">
        <w:t>/20</w:t>
      </w:r>
      <w:r w:rsidR="00FB1E3F" w:rsidRPr="005A504F">
        <w:t>1</w:t>
      </w:r>
      <w:r w:rsidR="003304AB" w:rsidRPr="005A504F">
        <w:t>5</w:t>
      </w:r>
      <w:r w:rsidRPr="005A504F">
        <w:t>-611</w:t>
      </w:r>
    </w:p>
    <w:p w:rsidR="00A8227F" w:rsidRPr="00BC1077" w:rsidRDefault="00A8227F" w:rsidP="00A27C6F">
      <w:pPr>
        <w:spacing w:before="720"/>
        <w:ind w:firstLine="709"/>
        <w:jc w:val="both"/>
      </w:pPr>
      <w:r w:rsidRPr="005C5882">
        <w:rPr>
          <w:rFonts w:cs="Arial"/>
        </w:rPr>
        <w:t xml:space="preserve">Rada Českého telekomunikačního úřadu jako příslušný </w:t>
      </w:r>
      <w:r w:rsidR="00883D22" w:rsidRPr="005C5882">
        <w:rPr>
          <w:rFonts w:cs="Arial"/>
        </w:rPr>
        <w:t xml:space="preserve">správní orgán </w:t>
      </w:r>
      <w:r w:rsidRPr="005C5882">
        <w:rPr>
          <w:rFonts w:cs="Arial"/>
        </w:rPr>
        <w:t>podl</w:t>
      </w:r>
      <w:r w:rsidR="009D5D45" w:rsidRPr="005C5882">
        <w:rPr>
          <w:rFonts w:cs="Arial"/>
        </w:rPr>
        <w:t xml:space="preserve">e </w:t>
      </w:r>
      <w:r w:rsidR="00FE69CA" w:rsidRPr="005C5882">
        <w:rPr>
          <w:rFonts w:cs="Arial"/>
        </w:rPr>
        <w:t>§ 10 zákona č. 500/2004 Sb., správní řád, ve znění pozdějších předpisů</w:t>
      </w:r>
      <w:r w:rsidR="0067376A">
        <w:rPr>
          <w:rFonts w:cs="Arial"/>
        </w:rPr>
        <w:t xml:space="preserve"> a</w:t>
      </w:r>
      <w:r w:rsidR="00FE69CA" w:rsidRPr="005C5882">
        <w:rPr>
          <w:rFonts w:cs="Arial"/>
        </w:rPr>
        <w:t xml:space="preserve"> podle § </w:t>
      </w:r>
      <w:r w:rsidR="009D5D45" w:rsidRPr="005C5882">
        <w:rPr>
          <w:rFonts w:cs="Arial"/>
        </w:rPr>
        <w:t xml:space="preserve">107 odst. </w:t>
      </w:r>
      <w:r w:rsidR="00204D00" w:rsidRPr="005C5882">
        <w:rPr>
          <w:rFonts w:cs="Arial"/>
        </w:rPr>
        <w:t>9</w:t>
      </w:r>
      <w:r w:rsidR="009D5D45" w:rsidRPr="005C5882">
        <w:rPr>
          <w:rFonts w:cs="Arial"/>
        </w:rPr>
        <w:t xml:space="preserve"> písm. b)</w:t>
      </w:r>
      <w:r w:rsidR="00F42D8A" w:rsidRPr="005C5882">
        <w:rPr>
          <w:rFonts w:cs="Arial"/>
        </w:rPr>
        <w:t xml:space="preserve"> </w:t>
      </w:r>
      <w:r w:rsidR="0024138D">
        <w:rPr>
          <w:rFonts w:cs="Arial"/>
        </w:rPr>
        <w:t>bodu 3</w:t>
      </w:r>
      <w:r w:rsidR="009D5D45" w:rsidRPr="005C5882">
        <w:rPr>
          <w:rFonts w:cs="Arial"/>
        </w:rPr>
        <w:t xml:space="preserve"> </w:t>
      </w:r>
      <w:r w:rsidRPr="005C5882">
        <w:rPr>
          <w:rFonts w:cs="Arial"/>
        </w:rPr>
        <w:t>zákona č. 127/2005 Sb., o elektronických komunikacích a o změně některých souvisejících zákonů (zákon o elektronických komunikacích), ve znění pozdějších předpisů, (dále jen „Zákon“)</w:t>
      </w:r>
      <w:r w:rsidR="00FE69CA" w:rsidRPr="005C5882">
        <w:rPr>
          <w:rFonts w:cs="Arial"/>
        </w:rPr>
        <w:t>,</w:t>
      </w:r>
      <w:r w:rsidR="00254D22" w:rsidRPr="005C5882">
        <w:rPr>
          <w:rFonts w:cs="Arial"/>
        </w:rPr>
        <w:t xml:space="preserve"> </w:t>
      </w:r>
      <w:r w:rsidRPr="005C5882">
        <w:rPr>
          <w:rFonts w:cs="Arial"/>
        </w:rPr>
        <w:t>vydává v</w:t>
      </w:r>
      <w:r w:rsidR="00FE69CA" w:rsidRPr="005C5882">
        <w:rPr>
          <w:rFonts w:cs="Arial"/>
        </w:rPr>
        <w:t> </w:t>
      </w:r>
      <w:r w:rsidRPr="005C5882">
        <w:rPr>
          <w:rFonts w:cs="Arial"/>
        </w:rPr>
        <w:t>řízení</w:t>
      </w:r>
      <w:r w:rsidR="00FE69CA" w:rsidRPr="005C5882">
        <w:rPr>
          <w:rFonts w:cs="Arial"/>
        </w:rPr>
        <w:t xml:space="preserve"> se společnost</w:t>
      </w:r>
      <w:r w:rsidR="00B9365C" w:rsidRPr="005C5882">
        <w:rPr>
          <w:rFonts w:cs="Arial"/>
        </w:rPr>
        <w:t>í</w:t>
      </w:r>
      <w:r w:rsidR="00FE69CA" w:rsidRPr="005C5882">
        <w:rPr>
          <w:rFonts w:cs="Arial"/>
        </w:rPr>
        <w:t xml:space="preserve"> </w:t>
      </w:r>
      <w:r w:rsidR="0038069A">
        <w:rPr>
          <w:rFonts w:cs="Arial"/>
          <w:b/>
        </w:rPr>
        <w:t>O2</w:t>
      </w:r>
      <w:r w:rsidR="00FE69CA" w:rsidRPr="005C5882">
        <w:rPr>
          <w:rFonts w:cs="Arial"/>
          <w:b/>
        </w:rPr>
        <w:t xml:space="preserve"> Czech Republic a.s.</w:t>
      </w:r>
      <w:r w:rsidR="00FE69CA" w:rsidRPr="005C5882">
        <w:rPr>
          <w:rFonts w:cs="Arial"/>
        </w:rPr>
        <w:t xml:space="preserve">, se sídlem Za Brumlovkou 266/2, 140 22 Praha 4 </w:t>
      </w:r>
      <w:r w:rsidR="00043F1F" w:rsidRPr="005C5882">
        <w:rPr>
          <w:rFonts w:cs="Arial"/>
        </w:rPr>
        <w:t>–</w:t>
      </w:r>
      <w:r w:rsidR="00FE69CA" w:rsidRPr="005C5882">
        <w:rPr>
          <w:rFonts w:cs="Arial"/>
        </w:rPr>
        <w:t xml:space="preserve"> Michle</w:t>
      </w:r>
      <w:r w:rsidRPr="005C5882">
        <w:rPr>
          <w:rFonts w:cs="Arial"/>
        </w:rPr>
        <w:t>,</w:t>
      </w:r>
      <w:r w:rsidR="00043F1F" w:rsidRPr="005C5882">
        <w:rPr>
          <w:rFonts w:cs="Arial"/>
        </w:rPr>
        <w:t xml:space="preserve"> IČ</w:t>
      </w:r>
      <w:r w:rsidR="00015B0A">
        <w:rPr>
          <w:rFonts w:cs="Arial"/>
        </w:rPr>
        <w:t>O</w:t>
      </w:r>
      <w:r w:rsidR="00043F1F" w:rsidRPr="005C5882">
        <w:rPr>
          <w:rFonts w:cs="Arial"/>
        </w:rPr>
        <w:t xml:space="preserve">: 60193336, (dále jen „účastník řízení“), </w:t>
      </w:r>
      <w:r w:rsidR="0027754C" w:rsidRPr="005C5882">
        <w:rPr>
          <w:rFonts w:cs="Arial"/>
        </w:rPr>
        <w:t xml:space="preserve">zahájeném z moci úřední dne </w:t>
      </w:r>
      <w:r w:rsidR="00015B0A">
        <w:rPr>
          <w:rFonts w:cs="Arial"/>
        </w:rPr>
        <w:t>30</w:t>
      </w:r>
      <w:r w:rsidR="0027754C" w:rsidRPr="00BD37D0">
        <w:rPr>
          <w:rFonts w:cs="Arial"/>
        </w:rPr>
        <w:t>.</w:t>
      </w:r>
      <w:r w:rsidR="00E56616" w:rsidRPr="005A504F">
        <w:rPr>
          <w:rFonts w:cs="Arial"/>
        </w:rPr>
        <w:t xml:space="preserve"> </w:t>
      </w:r>
      <w:r w:rsidR="00492AB0">
        <w:rPr>
          <w:rFonts w:cs="Arial"/>
        </w:rPr>
        <w:t>ledna</w:t>
      </w:r>
      <w:r w:rsidR="00F73675" w:rsidRPr="00287DAB">
        <w:rPr>
          <w:rFonts w:cs="Arial"/>
        </w:rPr>
        <w:t xml:space="preserve"> 201</w:t>
      </w:r>
      <w:r w:rsidR="00492AB0">
        <w:rPr>
          <w:rFonts w:cs="Arial"/>
        </w:rPr>
        <w:t>5</w:t>
      </w:r>
      <w:r w:rsidR="00C01BC4">
        <w:rPr>
          <w:rFonts w:cs="Arial"/>
        </w:rPr>
        <w:t>,</w:t>
      </w:r>
      <w:r w:rsidR="0027754C" w:rsidRPr="005C5882">
        <w:rPr>
          <w:rFonts w:cs="Arial"/>
        </w:rPr>
        <w:t xml:space="preserve"> ve věci uložení povinnosti související s regulací cen podniku s významnou tržní silou toto</w:t>
      </w:r>
    </w:p>
    <w:p w:rsidR="00A8227F" w:rsidRPr="00BC1077" w:rsidRDefault="00A8227F" w:rsidP="00A27C6F">
      <w:pPr>
        <w:pStyle w:val="HlavStyl"/>
        <w:tabs>
          <w:tab w:val="center" w:pos="5954"/>
          <w:tab w:val="right" w:pos="9072"/>
        </w:tabs>
        <w:spacing w:before="480" w:after="0"/>
        <w:jc w:val="center"/>
        <w:rPr>
          <w:b/>
        </w:rPr>
      </w:pPr>
      <w:r w:rsidRPr="00BC1077">
        <w:rPr>
          <w:b/>
        </w:rPr>
        <w:t>rozhodnutí</w:t>
      </w:r>
      <w:r w:rsidR="00C51B40" w:rsidRPr="00BC1077">
        <w:rPr>
          <w:b/>
        </w:rPr>
        <w:t xml:space="preserve"> o ceně</w:t>
      </w:r>
      <w:r w:rsidR="00A50078">
        <w:rPr>
          <w:b/>
        </w:rPr>
        <w:t xml:space="preserve"> č.</w:t>
      </w:r>
      <w:r w:rsidR="003D7F5B">
        <w:rPr>
          <w:b/>
        </w:rPr>
        <w:t xml:space="preserve"> </w:t>
      </w:r>
      <w:r w:rsidR="003D7F5B" w:rsidRPr="004C0369">
        <w:rPr>
          <w:b/>
        </w:rPr>
        <w:t>CEN/</w:t>
      </w:r>
      <w:r w:rsidR="00C765EA">
        <w:rPr>
          <w:b/>
        </w:rPr>
        <w:t>4</w:t>
      </w:r>
      <w:r w:rsidR="003D7F5B" w:rsidRPr="004C0369">
        <w:rPr>
          <w:b/>
        </w:rPr>
        <w:t>/</w:t>
      </w:r>
      <w:r w:rsidR="009F60E1" w:rsidRPr="00BD37D0">
        <w:rPr>
          <w:b/>
        </w:rPr>
        <w:t>XX</w:t>
      </w:r>
      <w:r w:rsidR="00DB1117" w:rsidRPr="00BD37D0">
        <w:rPr>
          <w:b/>
        </w:rPr>
        <w:t>.20</w:t>
      </w:r>
      <w:r w:rsidR="00D76443" w:rsidRPr="00BD37D0">
        <w:rPr>
          <w:b/>
        </w:rPr>
        <w:t>1</w:t>
      </w:r>
      <w:r w:rsidR="00297488" w:rsidRPr="00BD37D0">
        <w:rPr>
          <w:b/>
        </w:rPr>
        <w:t>5</w:t>
      </w:r>
      <w:r w:rsidR="003D7F5B" w:rsidRPr="00BD37D0">
        <w:rPr>
          <w:b/>
        </w:rPr>
        <w:t>-</w:t>
      </w:r>
      <w:r w:rsidR="009F60E1" w:rsidRPr="00BD37D0">
        <w:rPr>
          <w:b/>
        </w:rPr>
        <w:t>Y</w:t>
      </w:r>
      <w:r w:rsidRPr="00BD37D0">
        <w:rPr>
          <w:b/>
        </w:rPr>
        <w:t>:</w:t>
      </w:r>
    </w:p>
    <w:p w:rsidR="00C73468" w:rsidRPr="008C1F25" w:rsidRDefault="00C73468" w:rsidP="00A27C6F">
      <w:pPr>
        <w:pStyle w:val="Zkladntextodsazen"/>
        <w:keepNext/>
        <w:spacing w:before="360" w:after="240"/>
        <w:ind w:firstLine="0"/>
        <w:jc w:val="center"/>
        <w:outlineLvl w:val="0"/>
        <w:rPr>
          <w:b/>
          <w:sz w:val="22"/>
        </w:rPr>
      </w:pPr>
      <w:r w:rsidRPr="008C1F25">
        <w:rPr>
          <w:b/>
          <w:sz w:val="22"/>
        </w:rPr>
        <w:t>I</w:t>
      </w:r>
      <w:r w:rsidR="00F42D8A">
        <w:rPr>
          <w:b/>
          <w:sz w:val="22"/>
        </w:rPr>
        <w:t>.</w:t>
      </w:r>
    </w:p>
    <w:p w:rsidR="009D39C4" w:rsidRDefault="00C73468" w:rsidP="00A27C6F">
      <w:pPr>
        <w:spacing w:after="120"/>
        <w:ind w:firstLine="709"/>
        <w:jc w:val="both"/>
      </w:pPr>
      <w:r w:rsidRPr="007C064C">
        <w:rPr>
          <w:rFonts w:cs="Arial"/>
        </w:rPr>
        <w:t>Podle § 51 odst. 5 písm. f)</w:t>
      </w:r>
      <w:r w:rsidR="0024138D">
        <w:rPr>
          <w:rFonts w:cs="Arial"/>
        </w:rPr>
        <w:t>, § 51 odst. 8</w:t>
      </w:r>
      <w:r w:rsidRPr="007C064C">
        <w:rPr>
          <w:rFonts w:cs="Arial"/>
        </w:rPr>
        <w:t xml:space="preserve"> a § 59 Zákona a podle výsledků an</w:t>
      </w:r>
      <w:r w:rsidRPr="00CD3D6D">
        <w:rPr>
          <w:rFonts w:cs="Arial"/>
        </w:rPr>
        <w:t>alýzy relevantního trhu „Velkoobchodní</w:t>
      </w:r>
      <w:r w:rsidR="00AB4AF4">
        <w:rPr>
          <w:rFonts w:cs="Arial"/>
        </w:rPr>
        <w:t xml:space="preserve"> (fyzický)</w:t>
      </w:r>
      <w:r w:rsidRPr="00CD3D6D">
        <w:rPr>
          <w:rFonts w:cs="Arial"/>
        </w:rPr>
        <w:t xml:space="preserve"> přístup k</w:t>
      </w:r>
      <w:r w:rsidR="00AB4AF4">
        <w:rPr>
          <w:rFonts w:cs="Arial"/>
        </w:rPr>
        <w:t> infrastruktuře sítě (včetně</w:t>
      </w:r>
      <w:r w:rsidRPr="00CD3D6D">
        <w:rPr>
          <w:rFonts w:cs="Arial"/>
        </w:rPr>
        <w:t xml:space="preserve"> sdílen</w:t>
      </w:r>
      <w:r w:rsidR="00AB4AF4">
        <w:rPr>
          <w:rFonts w:cs="Arial"/>
        </w:rPr>
        <w:t>ého nebo plného zpřístupnění účastnického vedení) v pevném místě“</w:t>
      </w:r>
      <w:r w:rsidRPr="00CD3D6D">
        <w:rPr>
          <w:rFonts w:cs="Arial"/>
        </w:rPr>
        <w:t xml:space="preserve"> vydané opatřením obecné povahy Českého telekomunikačního úřadu č</w:t>
      </w:r>
      <w:r w:rsidR="0024138D">
        <w:rPr>
          <w:rFonts w:cs="Arial"/>
        </w:rPr>
        <w:t>.</w:t>
      </w:r>
      <w:r w:rsidR="00523750" w:rsidRPr="00523750">
        <w:rPr>
          <w:rFonts w:cs="Arial"/>
        </w:rPr>
        <w:t xml:space="preserve"> </w:t>
      </w:r>
      <w:r w:rsidR="00523750" w:rsidRPr="00287DAB">
        <w:rPr>
          <w:rFonts w:cs="Arial"/>
        </w:rPr>
        <w:t>A/4</w:t>
      </w:r>
      <w:r w:rsidR="005C5882" w:rsidRPr="00287DAB">
        <w:rPr>
          <w:rFonts w:cs="Arial"/>
        </w:rPr>
        <w:t>/</w:t>
      </w:r>
      <w:r w:rsidR="004C378C" w:rsidRPr="00287DAB">
        <w:rPr>
          <w:rFonts w:cs="Arial"/>
        </w:rPr>
        <w:t>10</w:t>
      </w:r>
      <w:r w:rsidR="00523750" w:rsidRPr="00287DAB">
        <w:rPr>
          <w:rFonts w:cs="Arial"/>
        </w:rPr>
        <w:t>.201</w:t>
      </w:r>
      <w:r w:rsidR="00C23D95" w:rsidRPr="00287DAB">
        <w:rPr>
          <w:rFonts w:cs="Arial"/>
        </w:rPr>
        <w:t>4</w:t>
      </w:r>
      <w:r w:rsidR="00523750" w:rsidRPr="00287DAB">
        <w:rPr>
          <w:rFonts w:cs="Arial"/>
        </w:rPr>
        <w:t>-</w:t>
      </w:r>
      <w:r w:rsidR="004C378C" w:rsidRPr="00E56616">
        <w:rPr>
          <w:rFonts w:cs="Arial"/>
        </w:rPr>
        <w:t>8</w:t>
      </w:r>
      <w:r w:rsidR="00BC31AE">
        <w:rPr>
          <w:rFonts w:cs="Arial"/>
        </w:rPr>
        <w:t xml:space="preserve"> </w:t>
      </w:r>
      <w:r w:rsidRPr="00CD3D6D">
        <w:rPr>
          <w:rFonts w:cs="Arial"/>
        </w:rPr>
        <w:t>se účastníku řízení ukládá povinnost sjednávat ceny s</w:t>
      </w:r>
      <w:r w:rsidRPr="00CD3D6D">
        <w:t>lužeb zpřístupnění účastnického vedení</w:t>
      </w:r>
      <w:r w:rsidR="00492AB0">
        <w:t>,</w:t>
      </w:r>
      <w:r w:rsidRPr="00CD3D6D">
        <w:t xml:space="preserve"> prostředků a služeb nezbytných k poskytování služeb prostřednictvím účastnického vedení (dále jen „kolokace“)</w:t>
      </w:r>
      <w:r w:rsidR="00492AB0">
        <w:t xml:space="preserve"> a služeb přístupu k přiřazeným prostředkům</w:t>
      </w:r>
      <w:r w:rsidRPr="00CD3D6D">
        <w:t xml:space="preserve"> tak, aby</w:t>
      </w:r>
      <w:r w:rsidR="009D39C4">
        <w:t>:</w:t>
      </w:r>
    </w:p>
    <w:p w:rsidR="001A4A6A" w:rsidRPr="001A4A6A" w:rsidRDefault="0098664A" w:rsidP="00A27C6F">
      <w:pPr>
        <w:spacing w:after="120"/>
        <w:ind w:firstLine="709"/>
        <w:jc w:val="both"/>
      </w:pPr>
      <w:r>
        <w:t>(1</w:t>
      </w:r>
      <w:r w:rsidR="009D39C4">
        <w:t>)</w:t>
      </w:r>
      <w:r w:rsidR="00C73468" w:rsidRPr="00CD3D6D">
        <w:t xml:space="preserve"> nebyly</w:t>
      </w:r>
      <w:r w:rsidR="009838B8">
        <w:t xml:space="preserve"> </w:t>
      </w:r>
      <w:r w:rsidR="00C73468" w:rsidRPr="00CD3D6D">
        <w:t>překročeny tyto maximální ceny:</w:t>
      </w:r>
    </w:p>
    <w:p w:rsidR="00851E6B" w:rsidRDefault="0098664A" w:rsidP="00A27C6F">
      <w:pPr>
        <w:spacing w:after="120"/>
        <w:ind w:firstLine="709"/>
        <w:jc w:val="both"/>
        <w:outlineLvl w:val="0"/>
      </w:pPr>
      <w:r>
        <w:t>a)</w:t>
      </w:r>
      <w:r w:rsidR="00C73468">
        <w:t xml:space="preserve"> ceny za poskytnutí služeb zpřístupnění účastnického kovového vedení nebo jeho úseku uplatňované jednorázově: </w:t>
      </w:r>
    </w:p>
    <w:tbl>
      <w:tblPr>
        <w:tblW w:w="907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93"/>
        <w:gridCol w:w="4819"/>
        <w:gridCol w:w="3260"/>
      </w:tblGrid>
      <w:tr w:rsidR="00851E6B">
        <w:trPr>
          <w:trHeight w:hRule="exact" w:val="879"/>
        </w:trPr>
        <w:tc>
          <w:tcPr>
            <w:tcW w:w="993" w:type="dxa"/>
            <w:tcBorders>
              <w:top w:val="single" w:sz="4" w:space="0" w:color="auto"/>
              <w:left w:val="single" w:sz="4" w:space="0" w:color="auto"/>
            </w:tcBorders>
            <w:vAlign w:val="center"/>
          </w:tcPr>
          <w:p w:rsidR="00851E6B" w:rsidRDefault="00851E6B" w:rsidP="00435243">
            <w:pPr>
              <w:ind w:left="-30" w:right="57"/>
              <w:jc w:val="center"/>
            </w:pPr>
          </w:p>
        </w:tc>
        <w:tc>
          <w:tcPr>
            <w:tcW w:w="4819" w:type="dxa"/>
            <w:tcBorders>
              <w:top w:val="single" w:sz="4" w:space="0" w:color="auto"/>
              <w:left w:val="single" w:sz="4" w:space="0" w:color="auto"/>
            </w:tcBorders>
            <w:vAlign w:val="center"/>
          </w:tcPr>
          <w:p w:rsidR="00851E6B" w:rsidRDefault="00851E6B" w:rsidP="0082158A">
            <w:pPr>
              <w:ind w:left="57" w:right="57"/>
              <w:jc w:val="both"/>
            </w:pPr>
            <w:r w:rsidRPr="00626088">
              <w:rPr>
                <w:snapToGrid w:val="0"/>
              </w:rPr>
              <w:t>Název služby</w:t>
            </w:r>
          </w:p>
        </w:tc>
        <w:tc>
          <w:tcPr>
            <w:tcW w:w="3260" w:type="dxa"/>
            <w:vAlign w:val="center"/>
          </w:tcPr>
          <w:p w:rsidR="00851E6B" w:rsidRDefault="00851E6B" w:rsidP="0082158A">
            <w:pPr>
              <w:ind w:left="57" w:right="57"/>
              <w:jc w:val="center"/>
              <w:rPr>
                <w:snapToGrid w:val="0"/>
              </w:rPr>
            </w:pPr>
            <w:r>
              <w:rPr>
                <w:snapToGrid w:val="0"/>
              </w:rPr>
              <w:t>Maximální cena v Kč bez daně z přidané hodnoty</w:t>
            </w:r>
          </w:p>
        </w:tc>
      </w:tr>
      <w:tr w:rsidR="00D90D55">
        <w:trPr>
          <w:trHeight w:val="226"/>
        </w:trPr>
        <w:tc>
          <w:tcPr>
            <w:tcW w:w="993" w:type="dxa"/>
            <w:vAlign w:val="center"/>
          </w:tcPr>
          <w:p w:rsidR="00D90D55" w:rsidRPr="00626088" w:rsidRDefault="00D538D4" w:rsidP="00435243">
            <w:pPr>
              <w:numPr>
                <w:ilvl w:val="0"/>
                <w:numId w:val="23"/>
              </w:numPr>
              <w:tabs>
                <w:tab w:val="center" w:pos="567"/>
              </w:tabs>
              <w:ind w:left="-30" w:right="-30"/>
              <w:jc w:val="center"/>
            </w:pPr>
            <w:r>
              <w:t>a</w:t>
            </w:r>
          </w:p>
        </w:tc>
        <w:tc>
          <w:tcPr>
            <w:tcW w:w="4819" w:type="dxa"/>
            <w:vAlign w:val="center"/>
          </w:tcPr>
          <w:p w:rsidR="007114CA" w:rsidRPr="00BB31FB" w:rsidRDefault="00D90D55" w:rsidP="0082158A">
            <w:pPr>
              <w:ind w:left="57" w:right="57"/>
              <w:jc w:val="both"/>
              <w:rPr>
                <w:snapToGrid w:val="0"/>
              </w:rPr>
            </w:pPr>
            <w:r w:rsidRPr="00BB31FB">
              <w:rPr>
                <w:snapToGrid w:val="0"/>
              </w:rPr>
              <w:t xml:space="preserve">Zřízení služby </w:t>
            </w:r>
            <w:r w:rsidR="007114CA" w:rsidRPr="00BB31FB">
              <w:rPr>
                <w:snapToGrid w:val="0"/>
              </w:rPr>
              <w:t>plné zpřístupnění účastnického kovového vedení</w:t>
            </w:r>
          </w:p>
          <w:p w:rsidR="00D90D55" w:rsidRPr="00BB31FB" w:rsidRDefault="007114CA" w:rsidP="0082158A">
            <w:pPr>
              <w:ind w:left="57" w:right="57"/>
              <w:jc w:val="both"/>
            </w:pPr>
            <w:r w:rsidRPr="00BB31FB">
              <w:rPr>
                <w:i/>
                <w:sz w:val="18"/>
              </w:rPr>
              <w:t>(Poskytnutí PPV na základě PROVIDE</w:t>
            </w:r>
            <w:r w:rsidR="007C3322">
              <w:rPr>
                <w:i/>
                <w:sz w:val="18"/>
              </w:rPr>
              <w:t xml:space="preserve"> </w:t>
            </w:r>
            <w:r w:rsidR="007C3322" w:rsidRPr="00DE799B">
              <w:rPr>
                <w:i/>
                <w:sz w:val="18"/>
              </w:rPr>
              <w:t>včetně migrace z </w:t>
            </w:r>
            <w:r w:rsidR="00AB4AF4">
              <w:rPr>
                <w:i/>
                <w:sz w:val="18"/>
              </w:rPr>
              <w:t>x</w:t>
            </w:r>
            <w:r w:rsidR="007C3322" w:rsidRPr="00DE799B">
              <w:rPr>
                <w:i/>
                <w:sz w:val="18"/>
              </w:rPr>
              <w:t>DSL služby účastníka řízení (v současnosti nazvané Carrier Broadband a Carrier IP Stream)</w:t>
            </w:r>
            <w:r w:rsidR="00DE799B">
              <w:rPr>
                <w:i/>
                <w:sz w:val="18"/>
              </w:rPr>
              <w:t>)</w:t>
            </w:r>
          </w:p>
        </w:tc>
        <w:tc>
          <w:tcPr>
            <w:tcW w:w="3260" w:type="dxa"/>
            <w:vAlign w:val="center"/>
          </w:tcPr>
          <w:p w:rsidR="00D90D55" w:rsidRPr="0082158A" w:rsidRDefault="009E4FC4" w:rsidP="00CA4940">
            <w:pPr>
              <w:jc w:val="center"/>
              <w:rPr>
                <w:i/>
                <w:snapToGrid w:val="0"/>
              </w:rPr>
            </w:pPr>
            <w:r>
              <w:rPr>
                <w:i/>
                <w:snapToGrid w:val="0"/>
              </w:rPr>
              <w:t xml:space="preserve"> 1 </w:t>
            </w:r>
            <w:r w:rsidR="00D058C1">
              <w:rPr>
                <w:i/>
                <w:snapToGrid w:val="0"/>
              </w:rPr>
              <w:t>1</w:t>
            </w:r>
            <w:r w:rsidR="00CA4940">
              <w:rPr>
                <w:i/>
                <w:snapToGrid w:val="0"/>
              </w:rPr>
              <w:t>20</w:t>
            </w:r>
            <w:r>
              <w:rPr>
                <w:i/>
                <w:snapToGrid w:val="0"/>
              </w:rPr>
              <w:t>,-</w:t>
            </w:r>
          </w:p>
        </w:tc>
      </w:tr>
      <w:tr w:rsidR="00D538D4" w:rsidRPr="003B2A69">
        <w:trPr>
          <w:trHeight w:val="226"/>
        </w:trPr>
        <w:tc>
          <w:tcPr>
            <w:tcW w:w="993" w:type="dxa"/>
            <w:vAlign w:val="center"/>
          </w:tcPr>
          <w:p w:rsidR="00D538D4" w:rsidRPr="003B2A69" w:rsidRDefault="00D538D4" w:rsidP="00435243">
            <w:pPr>
              <w:tabs>
                <w:tab w:val="center" w:pos="567"/>
                <w:tab w:val="num" w:pos="648"/>
              </w:tabs>
              <w:ind w:left="-30" w:right="-30" w:firstLine="288"/>
            </w:pPr>
            <w:r>
              <w:t xml:space="preserve">1.1 </w:t>
            </w:r>
            <w:r w:rsidR="00435243">
              <w:t xml:space="preserve"> </w:t>
            </w:r>
            <w:r>
              <w:t>b</w:t>
            </w:r>
          </w:p>
        </w:tc>
        <w:tc>
          <w:tcPr>
            <w:tcW w:w="4819" w:type="dxa"/>
            <w:vAlign w:val="center"/>
          </w:tcPr>
          <w:p w:rsidR="00D538D4" w:rsidRPr="00BB31FB" w:rsidRDefault="00D538D4" w:rsidP="00D538D4">
            <w:pPr>
              <w:ind w:left="57" w:right="57"/>
              <w:jc w:val="both"/>
              <w:rPr>
                <w:snapToGrid w:val="0"/>
              </w:rPr>
            </w:pPr>
            <w:r w:rsidRPr="00BB31FB">
              <w:rPr>
                <w:snapToGrid w:val="0"/>
              </w:rPr>
              <w:t>Zřízení služby sdílený přístup k účastnickému kovovému vedení</w:t>
            </w:r>
          </w:p>
          <w:p w:rsidR="00D538D4" w:rsidRPr="00BB31FB" w:rsidRDefault="00D538D4" w:rsidP="00D538D4">
            <w:pPr>
              <w:ind w:left="57" w:right="57"/>
              <w:jc w:val="both"/>
            </w:pPr>
            <w:r w:rsidRPr="00BB31FB">
              <w:rPr>
                <w:i/>
                <w:sz w:val="18"/>
              </w:rPr>
              <w:t>(Poskytnutí SPV na základě PROVIDE</w:t>
            </w:r>
            <w:r w:rsidR="007C3322" w:rsidRPr="00DE799B">
              <w:rPr>
                <w:i/>
                <w:sz w:val="18"/>
              </w:rPr>
              <w:t xml:space="preserve"> včetně migrace z </w:t>
            </w:r>
            <w:r w:rsidR="002B71C1">
              <w:rPr>
                <w:i/>
                <w:sz w:val="18"/>
              </w:rPr>
              <w:t>x</w:t>
            </w:r>
            <w:r w:rsidR="007C3322" w:rsidRPr="00DE799B">
              <w:rPr>
                <w:i/>
                <w:sz w:val="18"/>
              </w:rPr>
              <w:t>DSL služby účastníka řízení (v současnosti nazvané Carrier Broadband a Carrier IP Stream)</w:t>
            </w:r>
            <w:r w:rsidRPr="00BB31FB">
              <w:rPr>
                <w:i/>
                <w:sz w:val="18"/>
              </w:rPr>
              <w:t>)</w:t>
            </w:r>
          </w:p>
        </w:tc>
        <w:tc>
          <w:tcPr>
            <w:tcW w:w="3260" w:type="dxa"/>
            <w:vAlign w:val="center"/>
          </w:tcPr>
          <w:p w:rsidR="00D538D4" w:rsidRPr="003B2A69" w:rsidRDefault="009E4FC4" w:rsidP="00CA4940">
            <w:pPr>
              <w:jc w:val="center"/>
              <w:rPr>
                <w:i/>
                <w:snapToGrid w:val="0"/>
              </w:rPr>
            </w:pPr>
            <w:r>
              <w:rPr>
                <w:i/>
                <w:snapToGrid w:val="0"/>
              </w:rPr>
              <w:t xml:space="preserve"> </w:t>
            </w:r>
            <w:r w:rsidR="00D058C1">
              <w:rPr>
                <w:i/>
                <w:snapToGrid w:val="0"/>
              </w:rPr>
              <w:t>1 </w:t>
            </w:r>
            <w:r w:rsidR="00982994">
              <w:rPr>
                <w:i/>
                <w:snapToGrid w:val="0"/>
              </w:rPr>
              <w:t>1</w:t>
            </w:r>
            <w:r w:rsidR="00CA4940">
              <w:rPr>
                <w:i/>
                <w:snapToGrid w:val="0"/>
              </w:rPr>
              <w:t>6</w:t>
            </w:r>
            <w:r w:rsidR="00982994">
              <w:rPr>
                <w:i/>
                <w:snapToGrid w:val="0"/>
              </w:rPr>
              <w:t>2</w:t>
            </w:r>
            <w:r w:rsidR="00D058C1">
              <w:rPr>
                <w:i/>
                <w:snapToGrid w:val="0"/>
              </w:rPr>
              <w:t>,-</w:t>
            </w:r>
          </w:p>
        </w:tc>
      </w:tr>
      <w:tr w:rsidR="00435243">
        <w:trPr>
          <w:trHeight w:val="226"/>
        </w:trPr>
        <w:tc>
          <w:tcPr>
            <w:tcW w:w="993" w:type="dxa"/>
            <w:vAlign w:val="center"/>
          </w:tcPr>
          <w:p w:rsidR="00435243" w:rsidRPr="00626088" w:rsidRDefault="00435243" w:rsidP="00435243">
            <w:pPr>
              <w:numPr>
                <w:ilvl w:val="0"/>
                <w:numId w:val="23"/>
              </w:numPr>
              <w:tabs>
                <w:tab w:val="center" w:pos="567"/>
              </w:tabs>
              <w:ind w:left="-30" w:right="-30"/>
              <w:jc w:val="center"/>
            </w:pPr>
            <w:r>
              <w:t xml:space="preserve"> </w:t>
            </w:r>
          </w:p>
        </w:tc>
        <w:tc>
          <w:tcPr>
            <w:tcW w:w="4819" w:type="dxa"/>
            <w:vAlign w:val="center"/>
          </w:tcPr>
          <w:p w:rsidR="00435243" w:rsidRPr="00BB31FB" w:rsidRDefault="00435243" w:rsidP="00354322">
            <w:pPr>
              <w:ind w:left="57" w:right="57"/>
              <w:jc w:val="both"/>
              <w:rPr>
                <w:snapToGrid w:val="0"/>
              </w:rPr>
            </w:pPr>
            <w:r w:rsidRPr="00BB31FB">
              <w:rPr>
                <w:snapToGrid w:val="0"/>
              </w:rPr>
              <w:t>Změna třídy služby plný přístup k účastnickému kovovému vedení bez změny pozice na předávacím rozvodu</w:t>
            </w:r>
          </w:p>
          <w:p w:rsidR="00435243" w:rsidRPr="00BB31FB" w:rsidRDefault="00435243" w:rsidP="00354322">
            <w:pPr>
              <w:ind w:left="57" w:right="57"/>
              <w:jc w:val="both"/>
              <w:rPr>
                <w:snapToGrid w:val="0"/>
              </w:rPr>
            </w:pPr>
            <w:r w:rsidRPr="00BB31FB">
              <w:rPr>
                <w:i/>
                <w:snapToGrid w:val="0"/>
                <w:sz w:val="18"/>
                <w:szCs w:val="18"/>
              </w:rPr>
              <w:t>(Změna třídy služby PPV na základě CHANGE (COS) bez změny pozice na PR)</w:t>
            </w:r>
          </w:p>
        </w:tc>
        <w:tc>
          <w:tcPr>
            <w:tcW w:w="3260" w:type="dxa"/>
            <w:vAlign w:val="center"/>
          </w:tcPr>
          <w:p w:rsidR="00435243" w:rsidRPr="0082158A" w:rsidRDefault="009E4FC4" w:rsidP="00CA4940">
            <w:pPr>
              <w:jc w:val="center"/>
              <w:rPr>
                <w:i/>
                <w:snapToGrid w:val="0"/>
              </w:rPr>
            </w:pPr>
            <w:r>
              <w:rPr>
                <w:i/>
                <w:snapToGrid w:val="0"/>
              </w:rPr>
              <w:t xml:space="preserve"> </w:t>
            </w:r>
            <w:r w:rsidR="00F76A84">
              <w:rPr>
                <w:i/>
                <w:snapToGrid w:val="0"/>
              </w:rPr>
              <w:t>1</w:t>
            </w:r>
            <w:r w:rsidR="00982994">
              <w:rPr>
                <w:i/>
                <w:snapToGrid w:val="0"/>
              </w:rPr>
              <w:t>6</w:t>
            </w:r>
            <w:r w:rsidR="00CA4940">
              <w:rPr>
                <w:i/>
                <w:snapToGrid w:val="0"/>
              </w:rPr>
              <w:t>3</w:t>
            </w:r>
            <w:r w:rsidR="00F76A84">
              <w:rPr>
                <w:i/>
                <w:snapToGrid w:val="0"/>
              </w:rPr>
              <w:t>,-</w:t>
            </w:r>
            <w:r w:rsidR="00B26A13">
              <w:rPr>
                <w:i/>
                <w:snapToGrid w:val="0"/>
              </w:rPr>
              <w:t>-</w:t>
            </w:r>
          </w:p>
        </w:tc>
      </w:tr>
      <w:tr w:rsidR="00435243">
        <w:trPr>
          <w:trHeight w:val="226"/>
        </w:trPr>
        <w:tc>
          <w:tcPr>
            <w:tcW w:w="993" w:type="dxa"/>
            <w:vAlign w:val="center"/>
          </w:tcPr>
          <w:p w:rsidR="00435243" w:rsidRPr="00626088" w:rsidRDefault="00435243" w:rsidP="00435243">
            <w:pPr>
              <w:numPr>
                <w:ilvl w:val="0"/>
                <w:numId w:val="23"/>
              </w:numPr>
              <w:tabs>
                <w:tab w:val="center" w:pos="567"/>
              </w:tabs>
              <w:ind w:left="-30" w:right="-30"/>
              <w:jc w:val="center"/>
            </w:pPr>
          </w:p>
        </w:tc>
        <w:tc>
          <w:tcPr>
            <w:tcW w:w="4819" w:type="dxa"/>
            <w:vAlign w:val="center"/>
          </w:tcPr>
          <w:p w:rsidR="00435243" w:rsidRPr="00BB31FB" w:rsidRDefault="00435243" w:rsidP="00354322">
            <w:pPr>
              <w:ind w:left="57" w:right="57"/>
              <w:jc w:val="both"/>
            </w:pPr>
            <w:r w:rsidRPr="00BB31FB">
              <w:rPr>
                <w:i/>
                <w:snapToGrid w:val="0"/>
                <w:sz w:val="18"/>
                <w:szCs w:val="18"/>
              </w:rPr>
              <w:t xml:space="preserve"> </w:t>
            </w:r>
            <w:r w:rsidRPr="00BB31FB">
              <w:rPr>
                <w:snapToGrid w:val="0"/>
              </w:rPr>
              <w:t>Změna třídy služby plný přístup k účastnickému kovovému vedení se změnou pozice na předávacím rozvodu</w:t>
            </w:r>
          </w:p>
          <w:p w:rsidR="00435243" w:rsidRPr="00BB31FB" w:rsidRDefault="00435243" w:rsidP="00354322">
            <w:pPr>
              <w:ind w:left="57" w:right="57"/>
              <w:jc w:val="both"/>
              <w:rPr>
                <w:i/>
                <w:snapToGrid w:val="0"/>
                <w:sz w:val="18"/>
                <w:szCs w:val="18"/>
              </w:rPr>
            </w:pPr>
            <w:r w:rsidRPr="00BB31FB">
              <w:rPr>
                <w:i/>
                <w:sz w:val="18"/>
              </w:rPr>
              <w:t>(Změna třídy služby PPV na základě CHANGE (COS) se změnou pozice na PR)</w:t>
            </w:r>
          </w:p>
        </w:tc>
        <w:tc>
          <w:tcPr>
            <w:tcW w:w="3260" w:type="dxa"/>
            <w:vAlign w:val="center"/>
          </w:tcPr>
          <w:p w:rsidR="00435243" w:rsidRPr="0082158A" w:rsidRDefault="00D058C1" w:rsidP="00982994">
            <w:pPr>
              <w:jc w:val="center"/>
              <w:rPr>
                <w:i/>
                <w:snapToGrid w:val="0"/>
              </w:rPr>
            </w:pPr>
            <w:r>
              <w:rPr>
                <w:i/>
                <w:snapToGrid w:val="0"/>
              </w:rPr>
              <w:t xml:space="preserve"> </w:t>
            </w:r>
            <w:r w:rsidR="00CA4940">
              <w:rPr>
                <w:i/>
                <w:snapToGrid w:val="0"/>
              </w:rPr>
              <w:t>577</w:t>
            </w:r>
            <w:r w:rsidR="00F76A84">
              <w:rPr>
                <w:i/>
                <w:snapToGrid w:val="0"/>
              </w:rPr>
              <w:t>,-</w:t>
            </w:r>
          </w:p>
        </w:tc>
      </w:tr>
      <w:tr w:rsidR="00435243" w:rsidRPr="00213B1A">
        <w:trPr>
          <w:trHeight w:val="226"/>
        </w:trPr>
        <w:tc>
          <w:tcPr>
            <w:tcW w:w="993" w:type="dxa"/>
            <w:vAlign w:val="center"/>
          </w:tcPr>
          <w:p w:rsidR="00435243" w:rsidRPr="00213B1A" w:rsidRDefault="00435243" w:rsidP="00435243">
            <w:pPr>
              <w:numPr>
                <w:ilvl w:val="0"/>
                <w:numId w:val="23"/>
              </w:numPr>
              <w:tabs>
                <w:tab w:val="center" w:pos="567"/>
              </w:tabs>
              <w:ind w:left="-30" w:right="-30"/>
              <w:jc w:val="center"/>
            </w:pPr>
            <w:r>
              <w:t>a</w:t>
            </w:r>
          </w:p>
        </w:tc>
        <w:tc>
          <w:tcPr>
            <w:tcW w:w="4819" w:type="dxa"/>
            <w:vAlign w:val="center"/>
          </w:tcPr>
          <w:p w:rsidR="00435243" w:rsidRPr="00BB31FB" w:rsidRDefault="00435243" w:rsidP="00354322">
            <w:pPr>
              <w:ind w:left="57" w:right="57"/>
              <w:jc w:val="both"/>
              <w:rPr>
                <w:snapToGrid w:val="0"/>
              </w:rPr>
            </w:pPr>
            <w:r w:rsidRPr="00BB31FB">
              <w:rPr>
                <w:snapToGrid w:val="0"/>
              </w:rPr>
              <w:t>Změna poskytovatele služby využívajícího plné zpřístupnění účastnického kovového vedení bez změny třídy služby</w:t>
            </w:r>
          </w:p>
          <w:p w:rsidR="00435243" w:rsidRPr="00BB31FB" w:rsidRDefault="00E016C1" w:rsidP="00354322">
            <w:pPr>
              <w:ind w:left="57" w:right="57"/>
              <w:jc w:val="both"/>
              <w:rPr>
                <w:i/>
                <w:sz w:val="18"/>
              </w:rPr>
            </w:pPr>
            <w:r>
              <w:rPr>
                <w:i/>
                <w:sz w:val="18"/>
              </w:rPr>
              <w:t xml:space="preserve"> (TRANSFER PPV na</w:t>
            </w:r>
            <w:r w:rsidR="00435243" w:rsidRPr="00BB31FB">
              <w:rPr>
                <w:i/>
                <w:sz w:val="18"/>
              </w:rPr>
              <w:t xml:space="preserve"> službu jinéh</w:t>
            </w:r>
            <w:r>
              <w:rPr>
                <w:i/>
                <w:sz w:val="18"/>
              </w:rPr>
              <w:t>o poskytovatele využívající PPV</w:t>
            </w:r>
            <w:r w:rsidR="00435243" w:rsidRPr="00BB31FB">
              <w:rPr>
                <w:i/>
                <w:sz w:val="18"/>
              </w:rPr>
              <w:t>)</w:t>
            </w:r>
          </w:p>
        </w:tc>
        <w:tc>
          <w:tcPr>
            <w:tcW w:w="3260" w:type="dxa"/>
            <w:vAlign w:val="center"/>
          </w:tcPr>
          <w:p w:rsidR="00435243" w:rsidRPr="008C1F25" w:rsidRDefault="00D058C1" w:rsidP="00CA4940">
            <w:pPr>
              <w:jc w:val="center"/>
              <w:rPr>
                <w:i/>
                <w:snapToGrid w:val="0"/>
              </w:rPr>
            </w:pPr>
            <w:r>
              <w:rPr>
                <w:i/>
                <w:snapToGrid w:val="0"/>
              </w:rPr>
              <w:t xml:space="preserve"> 7</w:t>
            </w:r>
            <w:r w:rsidR="00982994">
              <w:rPr>
                <w:i/>
                <w:snapToGrid w:val="0"/>
              </w:rPr>
              <w:t>3</w:t>
            </w:r>
            <w:r w:rsidR="00CA4940">
              <w:rPr>
                <w:i/>
                <w:snapToGrid w:val="0"/>
              </w:rPr>
              <w:t>1</w:t>
            </w:r>
            <w:r w:rsidR="00F76A84">
              <w:rPr>
                <w:i/>
                <w:snapToGrid w:val="0"/>
              </w:rPr>
              <w:t>,</w:t>
            </w:r>
            <w:r w:rsidR="00B26A13">
              <w:rPr>
                <w:i/>
                <w:snapToGrid w:val="0"/>
              </w:rPr>
              <w:t>-</w:t>
            </w:r>
          </w:p>
        </w:tc>
      </w:tr>
      <w:tr w:rsidR="00435243">
        <w:trPr>
          <w:trHeight w:val="226"/>
        </w:trPr>
        <w:tc>
          <w:tcPr>
            <w:tcW w:w="993" w:type="dxa"/>
            <w:vAlign w:val="center"/>
          </w:tcPr>
          <w:p w:rsidR="00435243" w:rsidRPr="00626088" w:rsidRDefault="00435243" w:rsidP="00435243">
            <w:pPr>
              <w:tabs>
                <w:tab w:val="center" w:pos="567"/>
              </w:tabs>
              <w:ind w:left="-30" w:right="-30" w:firstLine="288"/>
            </w:pPr>
            <w:r>
              <w:t>1.4  b</w:t>
            </w:r>
          </w:p>
        </w:tc>
        <w:tc>
          <w:tcPr>
            <w:tcW w:w="4819" w:type="dxa"/>
            <w:vAlign w:val="center"/>
          </w:tcPr>
          <w:p w:rsidR="00435243" w:rsidRPr="00BB31FB" w:rsidRDefault="00435243" w:rsidP="00354322">
            <w:pPr>
              <w:ind w:left="57" w:right="57"/>
              <w:jc w:val="both"/>
              <w:rPr>
                <w:snapToGrid w:val="0"/>
              </w:rPr>
            </w:pPr>
            <w:r w:rsidRPr="00BB31FB">
              <w:rPr>
                <w:snapToGrid w:val="0"/>
              </w:rPr>
              <w:t>Změna poskytovatele služby využívajícího sdílený přístup k účastnickému kovovému vedení bez změny třídy služby</w:t>
            </w:r>
          </w:p>
          <w:p w:rsidR="00435243" w:rsidRPr="00BB31FB" w:rsidRDefault="00E016C1" w:rsidP="00354322">
            <w:pPr>
              <w:ind w:left="57" w:right="57"/>
              <w:jc w:val="both"/>
              <w:rPr>
                <w:i/>
                <w:sz w:val="18"/>
              </w:rPr>
            </w:pPr>
            <w:r>
              <w:rPr>
                <w:i/>
                <w:sz w:val="18"/>
              </w:rPr>
              <w:t xml:space="preserve"> (TRANSFER SPV na</w:t>
            </w:r>
            <w:r w:rsidR="00435243" w:rsidRPr="00BB31FB">
              <w:rPr>
                <w:i/>
                <w:sz w:val="18"/>
              </w:rPr>
              <w:t xml:space="preserve"> službu jiné</w:t>
            </w:r>
            <w:r>
              <w:rPr>
                <w:i/>
                <w:sz w:val="18"/>
              </w:rPr>
              <w:t>ho poskytovatele využívající SPV</w:t>
            </w:r>
            <w:r w:rsidR="00435243" w:rsidRPr="00BB31FB">
              <w:rPr>
                <w:i/>
                <w:sz w:val="18"/>
              </w:rPr>
              <w:t>)</w:t>
            </w:r>
          </w:p>
        </w:tc>
        <w:tc>
          <w:tcPr>
            <w:tcW w:w="3260" w:type="dxa"/>
            <w:vAlign w:val="center"/>
          </w:tcPr>
          <w:p w:rsidR="00435243" w:rsidRPr="003B2A69" w:rsidRDefault="00F76A84" w:rsidP="00CA4940">
            <w:pPr>
              <w:jc w:val="center"/>
              <w:rPr>
                <w:i/>
              </w:rPr>
            </w:pPr>
            <w:r>
              <w:rPr>
                <w:i/>
                <w:snapToGrid w:val="0"/>
              </w:rPr>
              <w:t xml:space="preserve"> 8</w:t>
            </w:r>
            <w:r w:rsidR="00CA4940">
              <w:rPr>
                <w:i/>
                <w:snapToGrid w:val="0"/>
              </w:rPr>
              <w:t>16</w:t>
            </w:r>
            <w:r>
              <w:rPr>
                <w:i/>
                <w:snapToGrid w:val="0"/>
              </w:rPr>
              <w:t>,-</w:t>
            </w:r>
          </w:p>
        </w:tc>
      </w:tr>
      <w:tr w:rsidR="00435243" w:rsidRPr="003B2A69">
        <w:trPr>
          <w:trHeight w:val="226"/>
        </w:trPr>
        <w:tc>
          <w:tcPr>
            <w:tcW w:w="993" w:type="dxa"/>
            <w:vAlign w:val="center"/>
          </w:tcPr>
          <w:p w:rsidR="00435243" w:rsidRPr="003B2A69" w:rsidRDefault="004745E6" w:rsidP="00354322">
            <w:pPr>
              <w:numPr>
                <w:ilvl w:val="0"/>
                <w:numId w:val="23"/>
              </w:numPr>
              <w:tabs>
                <w:tab w:val="center" w:pos="567"/>
              </w:tabs>
              <w:ind w:left="-30" w:right="-30"/>
              <w:jc w:val="center"/>
            </w:pPr>
            <w:r>
              <w:t>a</w:t>
            </w:r>
          </w:p>
        </w:tc>
        <w:tc>
          <w:tcPr>
            <w:tcW w:w="4819" w:type="dxa"/>
            <w:vAlign w:val="center"/>
          </w:tcPr>
          <w:p w:rsidR="00435243" w:rsidRPr="00BB31FB" w:rsidRDefault="00435243" w:rsidP="00435243">
            <w:pPr>
              <w:ind w:left="57" w:right="57"/>
              <w:jc w:val="both"/>
              <w:rPr>
                <w:snapToGrid w:val="0"/>
              </w:rPr>
            </w:pPr>
            <w:r w:rsidRPr="00BB31FB">
              <w:rPr>
                <w:snapToGrid w:val="0"/>
              </w:rPr>
              <w:t xml:space="preserve">Storno objednávky před zavedením služby plné zpřístupnění </w:t>
            </w:r>
            <w:r w:rsidR="004745E6" w:rsidRPr="00BB31FB">
              <w:rPr>
                <w:snapToGrid w:val="0"/>
              </w:rPr>
              <w:t xml:space="preserve">účastnického kovového vedení </w:t>
            </w:r>
          </w:p>
          <w:p w:rsidR="00435243" w:rsidRPr="00BB31FB" w:rsidRDefault="00435243" w:rsidP="00435243">
            <w:pPr>
              <w:ind w:left="57" w:right="57"/>
              <w:jc w:val="both"/>
              <w:rPr>
                <w:i/>
                <w:sz w:val="18"/>
              </w:rPr>
            </w:pPr>
            <w:r w:rsidRPr="00BB31FB">
              <w:rPr>
                <w:i/>
                <w:sz w:val="18"/>
              </w:rPr>
              <w:t xml:space="preserve">(Storno objednávky </w:t>
            </w:r>
            <w:r w:rsidR="004745E6" w:rsidRPr="00BB31FB">
              <w:rPr>
                <w:i/>
                <w:sz w:val="18"/>
              </w:rPr>
              <w:t>P</w:t>
            </w:r>
            <w:r w:rsidRPr="00BB31FB">
              <w:rPr>
                <w:i/>
                <w:sz w:val="18"/>
              </w:rPr>
              <w:t xml:space="preserve">PV </w:t>
            </w:r>
            <w:r w:rsidRPr="00BB31FB">
              <w:rPr>
                <w:i/>
                <w:sz w:val="18"/>
                <w:szCs w:val="18"/>
              </w:rPr>
              <w:t>– zpráva ABORT</w:t>
            </w:r>
            <w:r w:rsidRPr="00BB31FB">
              <w:rPr>
                <w:i/>
                <w:sz w:val="18"/>
              </w:rPr>
              <w:t>)</w:t>
            </w:r>
          </w:p>
        </w:tc>
        <w:tc>
          <w:tcPr>
            <w:tcW w:w="3260" w:type="dxa"/>
            <w:vAlign w:val="center"/>
          </w:tcPr>
          <w:p w:rsidR="00435243" w:rsidRPr="003B2A69" w:rsidRDefault="00D058C1" w:rsidP="00CA4940">
            <w:pPr>
              <w:jc w:val="center"/>
              <w:rPr>
                <w:i/>
              </w:rPr>
            </w:pPr>
            <w:r>
              <w:rPr>
                <w:i/>
                <w:snapToGrid w:val="0"/>
              </w:rPr>
              <w:t xml:space="preserve"> 4</w:t>
            </w:r>
            <w:r w:rsidR="00CA4940">
              <w:rPr>
                <w:i/>
                <w:snapToGrid w:val="0"/>
              </w:rPr>
              <w:t>30</w:t>
            </w:r>
            <w:r w:rsidR="00F76A84">
              <w:rPr>
                <w:i/>
                <w:snapToGrid w:val="0"/>
              </w:rPr>
              <w:t>,-</w:t>
            </w:r>
          </w:p>
        </w:tc>
      </w:tr>
      <w:tr w:rsidR="00435243" w:rsidRPr="003B2A69">
        <w:trPr>
          <w:trHeight w:val="226"/>
        </w:trPr>
        <w:tc>
          <w:tcPr>
            <w:tcW w:w="993" w:type="dxa"/>
            <w:vAlign w:val="center"/>
          </w:tcPr>
          <w:p w:rsidR="00435243" w:rsidRPr="003B2A69" w:rsidRDefault="004745E6" w:rsidP="004745E6">
            <w:pPr>
              <w:tabs>
                <w:tab w:val="center" w:pos="567"/>
              </w:tabs>
              <w:ind w:left="-30" w:right="-30" w:firstLine="142"/>
            </w:pPr>
            <w:r>
              <w:t xml:space="preserve">  1.5   b</w:t>
            </w:r>
          </w:p>
        </w:tc>
        <w:tc>
          <w:tcPr>
            <w:tcW w:w="4819" w:type="dxa"/>
            <w:vAlign w:val="center"/>
          </w:tcPr>
          <w:p w:rsidR="00435243" w:rsidRPr="00BB31FB" w:rsidRDefault="00435243" w:rsidP="00354322">
            <w:pPr>
              <w:ind w:left="57" w:right="57"/>
              <w:jc w:val="both"/>
              <w:rPr>
                <w:snapToGrid w:val="0"/>
              </w:rPr>
            </w:pPr>
            <w:r w:rsidRPr="00BB31FB">
              <w:rPr>
                <w:snapToGrid w:val="0"/>
              </w:rPr>
              <w:t>Storno objednávky před zavedením služby sdílený přístup k účastnickému kovovému vedení</w:t>
            </w:r>
          </w:p>
          <w:p w:rsidR="00435243" w:rsidRPr="00BB31FB" w:rsidRDefault="00435243" w:rsidP="00354322">
            <w:pPr>
              <w:pStyle w:val="Nadpis5"/>
              <w:ind w:left="57" w:right="57"/>
              <w:jc w:val="both"/>
              <w:rPr>
                <w:b/>
              </w:rPr>
            </w:pPr>
            <w:r w:rsidRPr="00BB31FB">
              <w:rPr>
                <w:sz w:val="18"/>
              </w:rPr>
              <w:t xml:space="preserve">(Storno objednávky SPV </w:t>
            </w:r>
            <w:r w:rsidRPr="00BB31FB">
              <w:rPr>
                <w:sz w:val="18"/>
                <w:szCs w:val="18"/>
              </w:rPr>
              <w:t>– zpráva ABORT</w:t>
            </w:r>
            <w:r w:rsidRPr="00BB31FB">
              <w:rPr>
                <w:sz w:val="18"/>
              </w:rPr>
              <w:t>)</w:t>
            </w:r>
          </w:p>
        </w:tc>
        <w:tc>
          <w:tcPr>
            <w:tcW w:w="3260" w:type="dxa"/>
            <w:vAlign w:val="center"/>
          </w:tcPr>
          <w:p w:rsidR="00435243" w:rsidRPr="003B2A69" w:rsidRDefault="00D058C1" w:rsidP="00CA4940">
            <w:pPr>
              <w:jc w:val="center"/>
              <w:rPr>
                <w:i/>
                <w:snapToGrid w:val="0"/>
              </w:rPr>
            </w:pPr>
            <w:r>
              <w:rPr>
                <w:i/>
                <w:snapToGrid w:val="0"/>
              </w:rPr>
              <w:t xml:space="preserve"> </w:t>
            </w:r>
            <w:r w:rsidR="00F76A84">
              <w:rPr>
                <w:i/>
                <w:snapToGrid w:val="0"/>
              </w:rPr>
              <w:t>5</w:t>
            </w:r>
            <w:r w:rsidR="00CA4940">
              <w:rPr>
                <w:i/>
                <w:snapToGrid w:val="0"/>
              </w:rPr>
              <w:t>15</w:t>
            </w:r>
            <w:r w:rsidR="00F76A84">
              <w:rPr>
                <w:i/>
                <w:snapToGrid w:val="0"/>
              </w:rPr>
              <w:t>,-</w:t>
            </w:r>
          </w:p>
        </w:tc>
      </w:tr>
      <w:tr w:rsidR="00435243" w:rsidRPr="003B2A69">
        <w:trPr>
          <w:trHeight w:val="226"/>
        </w:trPr>
        <w:tc>
          <w:tcPr>
            <w:tcW w:w="993" w:type="dxa"/>
            <w:vAlign w:val="center"/>
          </w:tcPr>
          <w:p w:rsidR="00435243" w:rsidRPr="003B2A69" w:rsidRDefault="00435243" w:rsidP="00435243">
            <w:pPr>
              <w:numPr>
                <w:ilvl w:val="0"/>
                <w:numId w:val="23"/>
              </w:numPr>
              <w:tabs>
                <w:tab w:val="center" w:pos="567"/>
              </w:tabs>
              <w:ind w:left="-30" w:right="-30"/>
              <w:jc w:val="center"/>
            </w:pPr>
          </w:p>
        </w:tc>
        <w:tc>
          <w:tcPr>
            <w:tcW w:w="4819" w:type="dxa"/>
            <w:vAlign w:val="center"/>
          </w:tcPr>
          <w:p w:rsidR="00435243" w:rsidRPr="00BB31FB" w:rsidRDefault="00435243" w:rsidP="006B3BF7">
            <w:pPr>
              <w:ind w:left="57" w:right="57"/>
              <w:jc w:val="both"/>
              <w:rPr>
                <w:snapToGrid w:val="0"/>
              </w:rPr>
            </w:pPr>
            <w:r w:rsidRPr="00BB31FB">
              <w:rPr>
                <w:snapToGrid w:val="0"/>
              </w:rPr>
              <w:t>Změna</w:t>
            </w:r>
            <w:r w:rsidR="009B18A9" w:rsidRPr="00BB31FB">
              <w:rPr>
                <w:snapToGrid w:val="0"/>
              </w:rPr>
              <w:t xml:space="preserve"> třídy</w:t>
            </w:r>
            <w:r w:rsidRPr="00BB31FB">
              <w:rPr>
                <w:snapToGrid w:val="0"/>
              </w:rPr>
              <w:t xml:space="preserve"> služby sdílený přístup k účastnickému kovovému vedení bez změny pozice na předávacím rozvodu</w:t>
            </w:r>
          </w:p>
          <w:p w:rsidR="00435243" w:rsidRPr="00BB31FB" w:rsidRDefault="00435243" w:rsidP="006B3BF7">
            <w:pPr>
              <w:pStyle w:val="Nadpis4"/>
              <w:ind w:right="57"/>
              <w:jc w:val="both"/>
              <w:rPr>
                <w:sz w:val="18"/>
              </w:rPr>
            </w:pPr>
            <w:r w:rsidRPr="00BB31FB">
              <w:rPr>
                <w:sz w:val="18"/>
              </w:rPr>
              <w:t>(</w:t>
            </w:r>
            <w:r w:rsidR="00344D46" w:rsidRPr="00BB31FB">
              <w:rPr>
                <w:sz w:val="18"/>
              </w:rPr>
              <w:t>Změna třídy služby SPV na základě CHANGE (COS) bez změny pozice na PR</w:t>
            </w:r>
            <w:r w:rsidRPr="00BB31FB">
              <w:rPr>
                <w:sz w:val="18"/>
              </w:rPr>
              <w:t>)</w:t>
            </w:r>
          </w:p>
        </w:tc>
        <w:tc>
          <w:tcPr>
            <w:tcW w:w="3260" w:type="dxa"/>
            <w:vAlign w:val="center"/>
          </w:tcPr>
          <w:p w:rsidR="00435243" w:rsidRPr="003B2A69" w:rsidRDefault="00F76A84" w:rsidP="00982994">
            <w:pPr>
              <w:jc w:val="center"/>
              <w:rPr>
                <w:i/>
                <w:snapToGrid w:val="0"/>
              </w:rPr>
            </w:pPr>
            <w:r>
              <w:rPr>
                <w:i/>
                <w:snapToGrid w:val="0"/>
              </w:rPr>
              <w:t xml:space="preserve"> 1</w:t>
            </w:r>
            <w:r w:rsidR="00982994">
              <w:rPr>
                <w:i/>
                <w:snapToGrid w:val="0"/>
              </w:rPr>
              <w:t>3</w:t>
            </w:r>
            <w:r w:rsidR="00CA4940">
              <w:rPr>
                <w:i/>
                <w:snapToGrid w:val="0"/>
              </w:rPr>
              <w:t>4</w:t>
            </w:r>
            <w:r>
              <w:rPr>
                <w:i/>
                <w:snapToGrid w:val="0"/>
              </w:rPr>
              <w:t>,-</w:t>
            </w:r>
          </w:p>
        </w:tc>
      </w:tr>
      <w:tr w:rsidR="00344D46" w:rsidRPr="003B2A69">
        <w:trPr>
          <w:trHeight w:val="226"/>
        </w:trPr>
        <w:tc>
          <w:tcPr>
            <w:tcW w:w="993" w:type="dxa"/>
            <w:vAlign w:val="center"/>
          </w:tcPr>
          <w:p w:rsidR="00344D46" w:rsidRPr="003B2A69" w:rsidRDefault="00344D46" w:rsidP="00435243">
            <w:pPr>
              <w:numPr>
                <w:ilvl w:val="0"/>
                <w:numId w:val="23"/>
              </w:numPr>
              <w:tabs>
                <w:tab w:val="center" w:pos="567"/>
              </w:tabs>
              <w:ind w:left="-30" w:right="-30"/>
              <w:jc w:val="center"/>
            </w:pPr>
          </w:p>
        </w:tc>
        <w:tc>
          <w:tcPr>
            <w:tcW w:w="4819" w:type="dxa"/>
            <w:vAlign w:val="center"/>
          </w:tcPr>
          <w:p w:rsidR="00344D46" w:rsidRPr="00BB31FB" w:rsidRDefault="00344D46" w:rsidP="00344D46">
            <w:pPr>
              <w:ind w:left="57" w:right="57"/>
              <w:jc w:val="both"/>
              <w:rPr>
                <w:snapToGrid w:val="0"/>
              </w:rPr>
            </w:pPr>
            <w:r w:rsidRPr="00BB31FB">
              <w:rPr>
                <w:snapToGrid w:val="0"/>
              </w:rPr>
              <w:t>Změna</w:t>
            </w:r>
            <w:r w:rsidR="009B18A9" w:rsidRPr="00BB31FB">
              <w:rPr>
                <w:snapToGrid w:val="0"/>
              </w:rPr>
              <w:t xml:space="preserve"> třídy</w:t>
            </w:r>
            <w:r w:rsidRPr="00BB31FB">
              <w:rPr>
                <w:snapToGrid w:val="0"/>
              </w:rPr>
              <w:t xml:space="preserve"> služby sdílený přístup k účastnickému kovovému vedení se změnou pozice na předávacím rozvodu</w:t>
            </w:r>
          </w:p>
          <w:p w:rsidR="00344D46" w:rsidRPr="00BB31FB" w:rsidRDefault="00344D46" w:rsidP="00344D46">
            <w:pPr>
              <w:ind w:left="57" w:right="57"/>
              <w:jc w:val="both"/>
              <w:rPr>
                <w:snapToGrid w:val="0"/>
              </w:rPr>
            </w:pPr>
            <w:r w:rsidRPr="00BB31FB">
              <w:rPr>
                <w:sz w:val="18"/>
              </w:rPr>
              <w:t>(Změna třídy služby SPV na základě CHANGE (COS) se změnou pozice na PR)</w:t>
            </w:r>
          </w:p>
        </w:tc>
        <w:tc>
          <w:tcPr>
            <w:tcW w:w="3260" w:type="dxa"/>
            <w:vAlign w:val="center"/>
          </w:tcPr>
          <w:p w:rsidR="00344D46" w:rsidRDefault="00F76A84" w:rsidP="00CA4940">
            <w:pPr>
              <w:jc w:val="center"/>
              <w:rPr>
                <w:i/>
                <w:snapToGrid w:val="0"/>
              </w:rPr>
            </w:pPr>
            <w:r>
              <w:rPr>
                <w:i/>
                <w:snapToGrid w:val="0"/>
              </w:rPr>
              <w:t xml:space="preserve"> 6</w:t>
            </w:r>
            <w:r w:rsidR="00CA4940">
              <w:rPr>
                <w:i/>
                <w:snapToGrid w:val="0"/>
              </w:rPr>
              <w:t>59</w:t>
            </w:r>
            <w:r>
              <w:rPr>
                <w:i/>
                <w:snapToGrid w:val="0"/>
              </w:rPr>
              <w:t>,-</w:t>
            </w:r>
          </w:p>
        </w:tc>
      </w:tr>
      <w:tr w:rsidR="00435243" w:rsidRPr="003B2A69">
        <w:trPr>
          <w:trHeight w:val="226"/>
        </w:trPr>
        <w:tc>
          <w:tcPr>
            <w:tcW w:w="993" w:type="dxa"/>
            <w:vAlign w:val="center"/>
          </w:tcPr>
          <w:p w:rsidR="00435243" w:rsidRPr="003B2A69" w:rsidRDefault="00435243" w:rsidP="00435243">
            <w:pPr>
              <w:numPr>
                <w:ilvl w:val="0"/>
                <w:numId w:val="23"/>
              </w:numPr>
              <w:tabs>
                <w:tab w:val="center" w:pos="567"/>
              </w:tabs>
              <w:ind w:left="-30" w:right="-30"/>
              <w:jc w:val="center"/>
            </w:pPr>
          </w:p>
        </w:tc>
        <w:tc>
          <w:tcPr>
            <w:tcW w:w="4819" w:type="dxa"/>
            <w:vAlign w:val="center"/>
          </w:tcPr>
          <w:p w:rsidR="00435243" w:rsidRPr="00BB31FB" w:rsidRDefault="00435243" w:rsidP="006B3BF7">
            <w:pPr>
              <w:ind w:left="57" w:right="57"/>
              <w:jc w:val="both"/>
              <w:rPr>
                <w:snapToGrid w:val="0"/>
              </w:rPr>
            </w:pPr>
            <w:r w:rsidRPr="00BB31FB">
              <w:rPr>
                <w:snapToGrid w:val="0"/>
              </w:rPr>
              <w:t xml:space="preserve">Změna služby sdílený přístup k účastnickému kovovému vedení na plné zpřístupnění účastnického kovového vedení </w:t>
            </w:r>
          </w:p>
          <w:p w:rsidR="00435243" w:rsidRPr="00BB31FB" w:rsidRDefault="00435243" w:rsidP="006B3BF7">
            <w:pPr>
              <w:pStyle w:val="Nadpis4"/>
              <w:ind w:right="57"/>
              <w:jc w:val="both"/>
              <w:rPr>
                <w:sz w:val="18"/>
              </w:rPr>
            </w:pPr>
            <w:r w:rsidRPr="00BB31FB">
              <w:rPr>
                <w:sz w:val="18"/>
              </w:rPr>
              <w:t>(</w:t>
            </w:r>
            <w:r w:rsidR="00344D46" w:rsidRPr="00BB31FB">
              <w:rPr>
                <w:sz w:val="18"/>
              </w:rPr>
              <w:t>Změna služby z SPV na PPV na základě CONVERT</w:t>
            </w:r>
            <w:r w:rsidRPr="00BB31FB">
              <w:rPr>
                <w:sz w:val="18"/>
              </w:rPr>
              <w:t>)</w:t>
            </w:r>
          </w:p>
        </w:tc>
        <w:tc>
          <w:tcPr>
            <w:tcW w:w="3260" w:type="dxa"/>
            <w:vAlign w:val="center"/>
          </w:tcPr>
          <w:p w:rsidR="00435243" w:rsidRPr="003B2A69" w:rsidRDefault="00F76A84" w:rsidP="00CA4940">
            <w:pPr>
              <w:jc w:val="center"/>
              <w:rPr>
                <w:i/>
                <w:snapToGrid w:val="0"/>
              </w:rPr>
            </w:pPr>
            <w:r>
              <w:rPr>
                <w:i/>
                <w:snapToGrid w:val="0"/>
              </w:rPr>
              <w:t xml:space="preserve"> 6</w:t>
            </w:r>
            <w:r w:rsidR="00CA4940">
              <w:rPr>
                <w:i/>
                <w:snapToGrid w:val="0"/>
              </w:rPr>
              <w:t>59</w:t>
            </w:r>
            <w:r>
              <w:rPr>
                <w:i/>
                <w:snapToGrid w:val="0"/>
              </w:rPr>
              <w:t>,-</w:t>
            </w:r>
          </w:p>
        </w:tc>
      </w:tr>
      <w:tr w:rsidR="00435243" w:rsidRPr="002B3B8A">
        <w:trPr>
          <w:trHeight w:val="226"/>
        </w:trPr>
        <w:tc>
          <w:tcPr>
            <w:tcW w:w="993" w:type="dxa"/>
            <w:vAlign w:val="center"/>
          </w:tcPr>
          <w:p w:rsidR="00435243" w:rsidRPr="002B3B8A" w:rsidRDefault="004745E6" w:rsidP="00435243">
            <w:pPr>
              <w:numPr>
                <w:ilvl w:val="0"/>
                <w:numId w:val="23"/>
              </w:numPr>
              <w:tabs>
                <w:tab w:val="center" w:pos="567"/>
              </w:tabs>
              <w:ind w:left="-30" w:right="-30"/>
              <w:jc w:val="center"/>
            </w:pPr>
            <w:r>
              <w:t>a</w:t>
            </w:r>
          </w:p>
        </w:tc>
        <w:tc>
          <w:tcPr>
            <w:tcW w:w="4819" w:type="dxa"/>
            <w:vAlign w:val="center"/>
          </w:tcPr>
          <w:p w:rsidR="00435243" w:rsidRPr="00BB31FB" w:rsidRDefault="00435243" w:rsidP="0082158A">
            <w:pPr>
              <w:pStyle w:val="Nadpis4"/>
              <w:ind w:right="57"/>
              <w:jc w:val="both"/>
              <w:rPr>
                <w:sz w:val="18"/>
              </w:rPr>
            </w:pPr>
            <w:r w:rsidRPr="00BB31FB">
              <w:rPr>
                <w:i w:val="0"/>
              </w:rPr>
              <w:t>Zřízení služby plný přístup k úseku účastnického vedení</w:t>
            </w:r>
            <w:r w:rsidRPr="00BB31FB">
              <w:rPr>
                <w:sz w:val="18"/>
              </w:rPr>
              <w:t xml:space="preserve"> </w:t>
            </w:r>
          </w:p>
          <w:p w:rsidR="00435243" w:rsidRPr="00BB31FB" w:rsidRDefault="00435243" w:rsidP="0082158A">
            <w:pPr>
              <w:pStyle w:val="Nadpis4"/>
              <w:ind w:right="57"/>
              <w:jc w:val="both"/>
              <w:rPr>
                <w:i w:val="0"/>
                <w:sz w:val="18"/>
              </w:rPr>
            </w:pPr>
            <w:r w:rsidRPr="00BB31FB">
              <w:rPr>
                <w:sz w:val="18"/>
              </w:rPr>
              <w:t>(Poskytnutí PPÚ na základě PROVIDE</w:t>
            </w:r>
            <w:r w:rsidR="00C2596D" w:rsidRPr="00E35110">
              <w:rPr>
                <w:sz w:val="18"/>
              </w:rPr>
              <w:t xml:space="preserve"> včetně migrace z </w:t>
            </w:r>
            <w:r w:rsidR="002B71C1">
              <w:rPr>
                <w:sz w:val="18"/>
              </w:rPr>
              <w:t>x</w:t>
            </w:r>
            <w:r w:rsidR="00C2596D" w:rsidRPr="00E35110">
              <w:rPr>
                <w:sz w:val="18"/>
              </w:rPr>
              <w:t>DSL služby účastníka řízení (v současnosti nazvané Carrier Broadband a Carrier IP Stream)</w:t>
            </w:r>
            <w:r w:rsidRPr="00BB31FB">
              <w:rPr>
                <w:sz w:val="18"/>
              </w:rPr>
              <w:t>)</w:t>
            </w:r>
          </w:p>
        </w:tc>
        <w:tc>
          <w:tcPr>
            <w:tcW w:w="3260" w:type="dxa"/>
            <w:vAlign w:val="center"/>
          </w:tcPr>
          <w:p w:rsidR="00435243" w:rsidRPr="002B3B8A" w:rsidRDefault="00F76A84" w:rsidP="00CA4940">
            <w:pPr>
              <w:jc w:val="center"/>
              <w:rPr>
                <w:i/>
                <w:snapToGrid w:val="0"/>
              </w:rPr>
            </w:pPr>
            <w:r>
              <w:rPr>
                <w:i/>
                <w:snapToGrid w:val="0"/>
              </w:rPr>
              <w:t xml:space="preserve"> 1 2</w:t>
            </w:r>
            <w:r w:rsidR="00CA4940">
              <w:rPr>
                <w:i/>
                <w:snapToGrid w:val="0"/>
              </w:rPr>
              <w:t>77</w:t>
            </w:r>
            <w:r>
              <w:rPr>
                <w:i/>
                <w:snapToGrid w:val="0"/>
              </w:rPr>
              <w:t>,-</w:t>
            </w:r>
          </w:p>
        </w:tc>
      </w:tr>
      <w:tr w:rsidR="004745E6" w:rsidRPr="002B3B8A">
        <w:trPr>
          <w:trHeight w:val="226"/>
        </w:trPr>
        <w:tc>
          <w:tcPr>
            <w:tcW w:w="993" w:type="dxa"/>
            <w:vAlign w:val="center"/>
          </w:tcPr>
          <w:p w:rsidR="004745E6" w:rsidRPr="002B3B8A" w:rsidRDefault="004745E6" w:rsidP="004745E6">
            <w:pPr>
              <w:tabs>
                <w:tab w:val="center" w:pos="567"/>
              </w:tabs>
              <w:ind w:right="-30"/>
            </w:pPr>
            <w:r>
              <w:t xml:space="preserve">    1.</w:t>
            </w:r>
            <w:r w:rsidR="00227F12">
              <w:t>9</w:t>
            </w:r>
            <w:r>
              <w:t xml:space="preserve">   b</w:t>
            </w:r>
          </w:p>
        </w:tc>
        <w:tc>
          <w:tcPr>
            <w:tcW w:w="4819" w:type="dxa"/>
            <w:vAlign w:val="center"/>
          </w:tcPr>
          <w:p w:rsidR="004745E6" w:rsidRPr="00BB31FB" w:rsidRDefault="004745E6" w:rsidP="00354322">
            <w:pPr>
              <w:pStyle w:val="Nadpis4"/>
              <w:ind w:right="57"/>
              <w:jc w:val="both"/>
              <w:rPr>
                <w:i w:val="0"/>
                <w:sz w:val="18"/>
              </w:rPr>
            </w:pPr>
            <w:r w:rsidRPr="00BB31FB">
              <w:rPr>
                <w:i w:val="0"/>
              </w:rPr>
              <w:t>Zřízení služby sdílený přístup k úseku účastnického kovového vedení</w:t>
            </w:r>
          </w:p>
          <w:p w:rsidR="004745E6" w:rsidRPr="00BB31FB" w:rsidRDefault="004745E6" w:rsidP="00354322">
            <w:pPr>
              <w:ind w:right="57"/>
              <w:jc w:val="both"/>
              <w:rPr>
                <w:i/>
                <w:sz w:val="18"/>
              </w:rPr>
            </w:pPr>
            <w:r w:rsidRPr="00BB31FB">
              <w:rPr>
                <w:i/>
                <w:snapToGrid w:val="0"/>
                <w:sz w:val="18"/>
              </w:rPr>
              <w:t xml:space="preserve"> (</w:t>
            </w:r>
            <w:r w:rsidRPr="00BB31FB">
              <w:rPr>
                <w:i/>
                <w:sz w:val="18"/>
              </w:rPr>
              <w:t>Poskytnutí SPÚ na základě PROVIDE</w:t>
            </w:r>
            <w:r w:rsidR="00C2596D" w:rsidRPr="00E35110">
              <w:rPr>
                <w:i/>
                <w:sz w:val="18"/>
              </w:rPr>
              <w:t xml:space="preserve"> včetně migrace z </w:t>
            </w:r>
            <w:r w:rsidR="002B71C1">
              <w:rPr>
                <w:i/>
                <w:sz w:val="18"/>
              </w:rPr>
              <w:t>x</w:t>
            </w:r>
            <w:r w:rsidR="00C2596D" w:rsidRPr="00E35110">
              <w:rPr>
                <w:i/>
                <w:sz w:val="18"/>
              </w:rPr>
              <w:t>DSL služby účastníka řízení (v současnosti nazvané Carrier Broadband a Carrier IP Stream)</w:t>
            </w:r>
            <w:r w:rsidRPr="00BB31FB">
              <w:rPr>
                <w:i/>
                <w:sz w:val="18"/>
              </w:rPr>
              <w:t>)</w:t>
            </w:r>
          </w:p>
        </w:tc>
        <w:tc>
          <w:tcPr>
            <w:tcW w:w="3260" w:type="dxa"/>
            <w:vAlign w:val="center"/>
          </w:tcPr>
          <w:p w:rsidR="004745E6" w:rsidRPr="007A2176" w:rsidRDefault="00D058C1" w:rsidP="00CA4940">
            <w:pPr>
              <w:jc w:val="center"/>
              <w:rPr>
                <w:i/>
                <w:snapToGrid w:val="0"/>
              </w:rPr>
            </w:pPr>
            <w:r>
              <w:rPr>
                <w:i/>
                <w:snapToGrid w:val="0"/>
              </w:rPr>
              <w:t xml:space="preserve"> 1 1</w:t>
            </w:r>
            <w:r w:rsidR="00CA4940">
              <w:rPr>
                <w:i/>
                <w:snapToGrid w:val="0"/>
              </w:rPr>
              <w:t>59</w:t>
            </w:r>
            <w:r w:rsidR="00F76A84">
              <w:rPr>
                <w:i/>
                <w:snapToGrid w:val="0"/>
              </w:rPr>
              <w:t>,-</w:t>
            </w:r>
          </w:p>
        </w:tc>
      </w:tr>
      <w:tr w:rsidR="004745E6" w:rsidRPr="002B3B8A">
        <w:trPr>
          <w:trHeight w:val="226"/>
        </w:trPr>
        <w:tc>
          <w:tcPr>
            <w:tcW w:w="993" w:type="dxa"/>
            <w:vAlign w:val="center"/>
          </w:tcPr>
          <w:p w:rsidR="004745E6" w:rsidRPr="002B3B8A" w:rsidRDefault="004745E6" w:rsidP="00435243">
            <w:pPr>
              <w:numPr>
                <w:ilvl w:val="0"/>
                <w:numId w:val="23"/>
              </w:numPr>
              <w:tabs>
                <w:tab w:val="center" w:pos="567"/>
              </w:tabs>
              <w:ind w:left="-30" w:right="-30"/>
              <w:jc w:val="center"/>
            </w:pPr>
          </w:p>
        </w:tc>
        <w:tc>
          <w:tcPr>
            <w:tcW w:w="4819" w:type="dxa"/>
            <w:vAlign w:val="center"/>
          </w:tcPr>
          <w:p w:rsidR="004745E6" w:rsidRPr="00BB31FB" w:rsidRDefault="004745E6" w:rsidP="002B3B8A">
            <w:pPr>
              <w:ind w:left="57" w:right="57"/>
              <w:jc w:val="both"/>
              <w:rPr>
                <w:snapToGrid w:val="0"/>
              </w:rPr>
            </w:pPr>
            <w:r w:rsidRPr="00BB31FB">
              <w:rPr>
                <w:snapToGrid w:val="0"/>
              </w:rPr>
              <w:t xml:space="preserve">Změna třídy služby plné zpřístupnění úseku účastnického kovového vedení bez změny pozice na předávacím rozvodu </w:t>
            </w:r>
          </w:p>
          <w:p w:rsidR="004745E6" w:rsidRPr="00BB31FB" w:rsidRDefault="004745E6" w:rsidP="002B3B8A">
            <w:pPr>
              <w:pStyle w:val="Nadpis4"/>
              <w:ind w:right="57"/>
              <w:jc w:val="both"/>
              <w:rPr>
                <w:sz w:val="18"/>
              </w:rPr>
            </w:pPr>
            <w:r w:rsidRPr="00BB31FB">
              <w:rPr>
                <w:sz w:val="18"/>
              </w:rPr>
              <w:t>(Změna třídy služby PPÚ na základě CHANGE (COS) beze změny pozice na PR)</w:t>
            </w:r>
          </w:p>
        </w:tc>
        <w:tc>
          <w:tcPr>
            <w:tcW w:w="3260" w:type="dxa"/>
            <w:vAlign w:val="center"/>
          </w:tcPr>
          <w:p w:rsidR="004745E6" w:rsidRPr="002B3B8A" w:rsidRDefault="00F76A84" w:rsidP="00CA4940">
            <w:pPr>
              <w:jc w:val="center"/>
              <w:rPr>
                <w:i/>
                <w:snapToGrid w:val="0"/>
              </w:rPr>
            </w:pPr>
            <w:r>
              <w:rPr>
                <w:i/>
                <w:snapToGrid w:val="0"/>
              </w:rPr>
              <w:t xml:space="preserve"> 1</w:t>
            </w:r>
            <w:r w:rsidR="00982994">
              <w:rPr>
                <w:i/>
                <w:snapToGrid w:val="0"/>
              </w:rPr>
              <w:t>6</w:t>
            </w:r>
            <w:r w:rsidR="00CA4940">
              <w:rPr>
                <w:i/>
                <w:snapToGrid w:val="0"/>
              </w:rPr>
              <w:t>3</w:t>
            </w:r>
            <w:r>
              <w:rPr>
                <w:i/>
                <w:snapToGrid w:val="0"/>
              </w:rPr>
              <w:t>,-</w:t>
            </w:r>
          </w:p>
        </w:tc>
      </w:tr>
      <w:tr w:rsidR="004745E6" w:rsidRPr="002B3B8A">
        <w:trPr>
          <w:trHeight w:val="226"/>
        </w:trPr>
        <w:tc>
          <w:tcPr>
            <w:tcW w:w="993" w:type="dxa"/>
            <w:vAlign w:val="center"/>
          </w:tcPr>
          <w:p w:rsidR="004745E6" w:rsidRPr="002B3B8A" w:rsidRDefault="004745E6" w:rsidP="00435243">
            <w:pPr>
              <w:numPr>
                <w:ilvl w:val="0"/>
                <w:numId w:val="23"/>
              </w:numPr>
              <w:tabs>
                <w:tab w:val="center" w:pos="567"/>
              </w:tabs>
              <w:ind w:left="-30" w:right="-30"/>
              <w:jc w:val="center"/>
            </w:pPr>
          </w:p>
        </w:tc>
        <w:tc>
          <w:tcPr>
            <w:tcW w:w="4819" w:type="dxa"/>
            <w:vAlign w:val="center"/>
          </w:tcPr>
          <w:p w:rsidR="004745E6" w:rsidRPr="00BB31FB" w:rsidRDefault="004745E6" w:rsidP="002B3B8A">
            <w:pPr>
              <w:ind w:left="57" w:right="57"/>
              <w:jc w:val="both"/>
            </w:pPr>
            <w:r w:rsidRPr="00BB31FB">
              <w:rPr>
                <w:snapToGrid w:val="0"/>
              </w:rPr>
              <w:t>Změna třídy služby plné zpřístupnění úseku účastnického kovového vedení se změnou pozice na předávacím rozvodu</w:t>
            </w:r>
          </w:p>
          <w:p w:rsidR="004745E6" w:rsidRPr="00BB31FB" w:rsidRDefault="004745E6" w:rsidP="002B3B8A">
            <w:pPr>
              <w:ind w:left="57" w:right="57"/>
              <w:jc w:val="both"/>
              <w:rPr>
                <w:i/>
                <w:snapToGrid w:val="0"/>
              </w:rPr>
            </w:pPr>
            <w:r w:rsidRPr="00BB31FB">
              <w:rPr>
                <w:i/>
                <w:snapToGrid w:val="0"/>
                <w:sz w:val="18"/>
              </w:rPr>
              <w:t>(Změna třídy služby PPÚ na základě CHANGE (COS) se změnou pozice na PR)</w:t>
            </w:r>
          </w:p>
        </w:tc>
        <w:tc>
          <w:tcPr>
            <w:tcW w:w="3260" w:type="dxa"/>
            <w:vAlign w:val="center"/>
          </w:tcPr>
          <w:p w:rsidR="004745E6" w:rsidRPr="002B3B8A" w:rsidRDefault="00F76A84" w:rsidP="00CA4940">
            <w:pPr>
              <w:jc w:val="center"/>
              <w:rPr>
                <w:i/>
                <w:snapToGrid w:val="0"/>
              </w:rPr>
            </w:pPr>
            <w:r>
              <w:rPr>
                <w:i/>
                <w:snapToGrid w:val="0"/>
              </w:rPr>
              <w:t xml:space="preserve"> </w:t>
            </w:r>
            <w:r w:rsidR="00982994">
              <w:rPr>
                <w:i/>
                <w:snapToGrid w:val="0"/>
              </w:rPr>
              <w:t>57</w:t>
            </w:r>
            <w:r w:rsidR="00CA4940">
              <w:rPr>
                <w:i/>
                <w:snapToGrid w:val="0"/>
              </w:rPr>
              <w:t>7</w:t>
            </w:r>
            <w:r>
              <w:rPr>
                <w:i/>
                <w:snapToGrid w:val="0"/>
              </w:rPr>
              <w:t>,-</w:t>
            </w:r>
          </w:p>
        </w:tc>
      </w:tr>
      <w:tr w:rsidR="004745E6" w:rsidRPr="002B3B8A">
        <w:trPr>
          <w:trHeight w:val="226"/>
        </w:trPr>
        <w:tc>
          <w:tcPr>
            <w:tcW w:w="993" w:type="dxa"/>
            <w:vAlign w:val="center"/>
          </w:tcPr>
          <w:p w:rsidR="004745E6" w:rsidRPr="002B3B8A" w:rsidRDefault="004745E6" w:rsidP="00435243">
            <w:pPr>
              <w:numPr>
                <w:ilvl w:val="0"/>
                <w:numId w:val="23"/>
              </w:numPr>
              <w:tabs>
                <w:tab w:val="center" w:pos="567"/>
              </w:tabs>
              <w:ind w:left="-30" w:right="-30"/>
              <w:jc w:val="center"/>
            </w:pPr>
            <w:r>
              <w:t>a</w:t>
            </w:r>
          </w:p>
        </w:tc>
        <w:tc>
          <w:tcPr>
            <w:tcW w:w="4819" w:type="dxa"/>
            <w:vAlign w:val="center"/>
          </w:tcPr>
          <w:p w:rsidR="004745E6" w:rsidRPr="00BB31FB" w:rsidRDefault="004745E6" w:rsidP="002B3B8A">
            <w:pPr>
              <w:ind w:left="57" w:right="57"/>
              <w:jc w:val="both"/>
              <w:rPr>
                <w:snapToGrid w:val="0"/>
              </w:rPr>
            </w:pPr>
            <w:r w:rsidRPr="00BB31FB">
              <w:rPr>
                <w:snapToGrid w:val="0"/>
              </w:rPr>
              <w:t>Změna poskytovatele služby využívajícího plné zpřístupnění úseku účastnického vedení bez změny třídy služby</w:t>
            </w:r>
          </w:p>
          <w:p w:rsidR="004745E6" w:rsidRPr="00BB31FB" w:rsidRDefault="004745E6" w:rsidP="002B3B8A">
            <w:pPr>
              <w:ind w:left="57" w:right="57"/>
              <w:jc w:val="both"/>
              <w:rPr>
                <w:i/>
                <w:snapToGrid w:val="0"/>
                <w:sz w:val="18"/>
              </w:rPr>
            </w:pPr>
            <w:r w:rsidRPr="00BB31FB">
              <w:rPr>
                <w:i/>
                <w:sz w:val="18"/>
              </w:rPr>
              <w:t>(TRANSFER PPÚ</w:t>
            </w:r>
            <w:r w:rsidR="00DC5047" w:rsidRPr="00BB31FB">
              <w:rPr>
                <w:i/>
                <w:sz w:val="18"/>
              </w:rPr>
              <w:t xml:space="preserve"> </w:t>
            </w:r>
            <w:r w:rsidR="00E016C1">
              <w:rPr>
                <w:i/>
                <w:sz w:val="18"/>
              </w:rPr>
              <w:t>na</w:t>
            </w:r>
            <w:r w:rsidRPr="00BB31FB">
              <w:rPr>
                <w:i/>
                <w:sz w:val="18"/>
              </w:rPr>
              <w:t xml:space="preserve"> službu jinéh</w:t>
            </w:r>
            <w:r w:rsidR="00E016C1">
              <w:rPr>
                <w:i/>
                <w:sz w:val="18"/>
              </w:rPr>
              <w:t>o poskytovatele využívající PPÚ</w:t>
            </w:r>
            <w:r w:rsidRPr="00BB31FB">
              <w:rPr>
                <w:i/>
                <w:sz w:val="18"/>
              </w:rPr>
              <w:t xml:space="preserve">) </w:t>
            </w:r>
          </w:p>
        </w:tc>
        <w:tc>
          <w:tcPr>
            <w:tcW w:w="3260" w:type="dxa"/>
            <w:vAlign w:val="center"/>
          </w:tcPr>
          <w:p w:rsidR="004745E6" w:rsidRPr="002B3B8A" w:rsidRDefault="00F76A84" w:rsidP="00CA4940">
            <w:pPr>
              <w:jc w:val="center"/>
              <w:rPr>
                <w:i/>
                <w:snapToGrid w:val="0"/>
              </w:rPr>
            </w:pPr>
            <w:r>
              <w:rPr>
                <w:i/>
                <w:snapToGrid w:val="0"/>
              </w:rPr>
              <w:t xml:space="preserve"> 1 1</w:t>
            </w:r>
            <w:r w:rsidR="00CA4940">
              <w:rPr>
                <w:i/>
                <w:snapToGrid w:val="0"/>
              </w:rPr>
              <w:t>62</w:t>
            </w:r>
            <w:r>
              <w:rPr>
                <w:i/>
                <w:snapToGrid w:val="0"/>
              </w:rPr>
              <w:t>,-</w:t>
            </w:r>
          </w:p>
        </w:tc>
      </w:tr>
      <w:tr w:rsidR="004745E6" w:rsidRPr="007A2176">
        <w:trPr>
          <w:trHeight w:val="454"/>
        </w:trPr>
        <w:tc>
          <w:tcPr>
            <w:tcW w:w="993" w:type="dxa"/>
            <w:vAlign w:val="center"/>
          </w:tcPr>
          <w:p w:rsidR="004745E6" w:rsidRPr="007A2176" w:rsidRDefault="004745E6" w:rsidP="004745E6">
            <w:pPr>
              <w:tabs>
                <w:tab w:val="center" w:pos="567"/>
              </w:tabs>
              <w:ind w:right="-30"/>
            </w:pPr>
            <w:r>
              <w:t xml:space="preserve">    1.1</w:t>
            </w:r>
            <w:r w:rsidR="00227F12">
              <w:t>2</w:t>
            </w:r>
            <w:r>
              <w:t xml:space="preserve"> b</w:t>
            </w:r>
          </w:p>
        </w:tc>
        <w:tc>
          <w:tcPr>
            <w:tcW w:w="4819" w:type="dxa"/>
            <w:vAlign w:val="center"/>
          </w:tcPr>
          <w:p w:rsidR="004745E6" w:rsidRPr="00BB31FB" w:rsidRDefault="004745E6" w:rsidP="00354322">
            <w:pPr>
              <w:ind w:left="57" w:right="57"/>
              <w:jc w:val="both"/>
              <w:rPr>
                <w:snapToGrid w:val="0"/>
              </w:rPr>
            </w:pPr>
            <w:r w:rsidRPr="00BB31FB">
              <w:rPr>
                <w:snapToGrid w:val="0"/>
              </w:rPr>
              <w:t>Změna poskytovatele služby využívajícího sdílený přístup k úseku účastnického kovového vedení bez změny třídy služby</w:t>
            </w:r>
          </w:p>
          <w:p w:rsidR="004745E6" w:rsidRPr="00BB31FB" w:rsidRDefault="004745E6" w:rsidP="00354322">
            <w:pPr>
              <w:ind w:left="57" w:right="57"/>
              <w:jc w:val="both"/>
              <w:rPr>
                <w:snapToGrid w:val="0"/>
              </w:rPr>
            </w:pPr>
            <w:r w:rsidRPr="00BB31FB">
              <w:rPr>
                <w:i/>
                <w:sz w:val="18"/>
              </w:rPr>
              <w:t xml:space="preserve">(TRANSFER SPÚ </w:t>
            </w:r>
            <w:r w:rsidR="00E016C1">
              <w:rPr>
                <w:i/>
                <w:sz w:val="18"/>
              </w:rPr>
              <w:t>na</w:t>
            </w:r>
            <w:r w:rsidRPr="00BB31FB">
              <w:rPr>
                <w:i/>
                <w:sz w:val="18"/>
              </w:rPr>
              <w:t xml:space="preserve"> službu jinéh</w:t>
            </w:r>
            <w:r w:rsidR="00E016C1">
              <w:rPr>
                <w:i/>
                <w:sz w:val="18"/>
              </w:rPr>
              <w:t>o poskytovatele využívající SPÚ</w:t>
            </w:r>
            <w:r w:rsidRPr="00BB31FB">
              <w:rPr>
                <w:i/>
                <w:sz w:val="18"/>
              </w:rPr>
              <w:t>)</w:t>
            </w:r>
          </w:p>
        </w:tc>
        <w:tc>
          <w:tcPr>
            <w:tcW w:w="3260" w:type="dxa"/>
            <w:vAlign w:val="center"/>
          </w:tcPr>
          <w:p w:rsidR="004745E6" w:rsidRPr="007A2176" w:rsidRDefault="00F76A84" w:rsidP="00CA4940">
            <w:pPr>
              <w:jc w:val="center"/>
              <w:rPr>
                <w:i/>
                <w:snapToGrid w:val="0"/>
              </w:rPr>
            </w:pPr>
            <w:r>
              <w:rPr>
                <w:i/>
                <w:snapToGrid w:val="0"/>
              </w:rPr>
              <w:t xml:space="preserve"> 1 1</w:t>
            </w:r>
            <w:r w:rsidR="00CA4940">
              <w:rPr>
                <w:i/>
                <w:snapToGrid w:val="0"/>
              </w:rPr>
              <w:t>46</w:t>
            </w:r>
            <w:r>
              <w:rPr>
                <w:i/>
                <w:snapToGrid w:val="0"/>
              </w:rPr>
              <w:t>,-</w:t>
            </w:r>
          </w:p>
        </w:tc>
      </w:tr>
      <w:tr w:rsidR="004745E6" w:rsidRPr="002B3B8A">
        <w:trPr>
          <w:trHeight w:val="226"/>
        </w:trPr>
        <w:tc>
          <w:tcPr>
            <w:tcW w:w="993" w:type="dxa"/>
            <w:vAlign w:val="center"/>
          </w:tcPr>
          <w:p w:rsidR="004745E6" w:rsidRPr="002B3B8A" w:rsidRDefault="004745E6" w:rsidP="00435243">
            <w:pPr>
              <w:numPr>
                <w:ilvl w:val="0"/>
                <w:numId w:val="23"/>
              </w:numPr>
              <w:tabs>
                <w:tab w:val="center" w:pos="567"/>
              </w:tabs>
              <w:ind w:left="-30" w:right="-30"/>
              <w:jc w:val="center"/>
            </w:pPr>
            <w:r>
              <w:t>a</w:t>
            </w:r>
          </w:p>
        </w:tc>
        <w:tc>
          <w:tcPr>
            <w:tcW w:w="4819" w:type="dxa"/>
            <w:vAlign w:val="center"/>
          </w:tcPr>
          <w:p w:rsidR="004745E6" w:rsidRPr="00BB31FB" w:rsidRDefault="004745E6" w:rsidP="002B3B8A">
            <w:pPr>
              <w:ind w:left="57" w:right="57"/>
              <w:jc w:val="both"/>
              <w:rPr>
                <w:snapToGrid w:val="0"/>
              </w:rPr>
            </w:pPr>
            <w:r w:rsidRPr="00BB31FB">
              <w:rPr>
                <w:snapToGrid w:val="0"/>
              </w:rPr>
              <w:t xml:space="preserve">Storno objednávky před zavedením služby plné zpřístupnění úseku účastnického kovového vedení </w:t>
            </w:r>
          </w:p>
          <w:p w:rsidR="004745E6" w:rsidRPr="00BB31FB" w:rsidRDefault="004745E6" w:rsidP="002B3B8A">
            <w:pPr>
              <w:ind w:left="57" w:right="57"/>
              <w:jc w:val="both"/>
              <w:rPr>
                <w:i/>
                <w:snapToGrid w:val="0"/>
                <w:sz w:val="18"/>
                <w:szCs w:val="18"/>
              </w:rPr>
            </w:pPr>
            <w:r w:rsidRPr="00BB31FB">
              <w:rPr>
                <w:i/>
                <w:snapToGrid w:val="0"/>
                <w:sz w:val="18"/>
                <w:szCs w:val="18"/>
              </w:rPr>
              <w:t>(</w:t>
            </w:r>
            <w:r w:rsidRPr="00BB31FB">
              <w:rPr>
                <w:i/>
                <w:sz w:val="18"/>
                <w:szCs w:val="18"/>
              </w:rPr>
              <w:t>Storno objednávky PPÚ</w:t>
            </w:r>
            <w:r w:rsidRPr="00BB31FB">
              <w:rPr>
                <w:i/>
                <w:snapToGrid w:val="0"/>
                <w:sz w:val="18"/>
                <w:szCs w:val="18"/>
              </w:rPr>
              <w:t xml:space="preserve"> – zpráva ABORT</w:t>
            </w:r>
            <w:r w:rsidRPr="00BB31FB">
              <w:rPr>
                <w:i/>
                <w:sz w:val="18"/>
                <w:szCs w:val="18"/>
              </w:rPr>
              <w:t>)</w:t>
            </w:r>
          </w:p>
        </w:tc>
        <w:tc>
          <w:tcPr>
            <w:tcW w:w="3260" w:type="dxa"/>
            <w:vAlign w:val="center"/>
          </w:tcPr>
          <w:p w:rsidR="004745E6" w:rsidRPr="002B3B8A" w:rsidRDefault="00F76A84" w:rsidP="00CA4940">
            <w:pPr>
              <w:jc w:val="center"/>
              <w:rPr>
                <w:i/>
                <w:snapToGrid w:val="0"/>
              </w:rPr>
            </w:pPr>
            <w:r>
              <w:rPr>
                <w:i/>
                <w:snapToGrid w:val="0"/>
              </w:rPr>
              <w:t xml:space="preserve"> </w:t>
            </w:r>
            <w:r w:rsidR="00CA4940">
              <w:rPr>
                <w:i/>
                <w:snapToGrid w:val="0"/>
              </w:rPr>
              <w:t>817</w:t>
            </w:r>
            <w:r>
              <w:rPr>
                <w:i/>
                <w:snapToGrid w:val="0"/>
              </w:rPr>
              <w:t>,-</w:t>
            </w:r>
          </w:p>
        </w:tc>
      </w:tr>
      <w:tr w:rsidR="004745E6" w:rsidRPr="00D81FED">
        <w:trPr>
          <w:trHeight w:val="454"/>
        </w:trPr>
        <w:tc>
          <w:tcPr>
            <w:tcW w:w="993" w:type="dxa"/>
            <w:vAlign w:val="center"/>
          </w:tcPr>
          <w:p w:rsidR="004745E6" w:rsidRPr="00D81FED" w:rsidRDefault="004745E6" w:rsidP="004745E6">
            <w:pPr>
              <w:tabs>
                <w:tab w:val="center" w:pos="567"/>
              </w:tabs>
              <w:ind w:right="-30"/>
            </w:pPr>
            <w:r>
              <w:t xml:space="preserve">    1.1</w:t>
            </w:r>
            <w:r w:rsidR="00227F12">
              <w:t>3</w:t>
            </w:r>
            <w:r>
              <w:t xml:space="preserve"> b</w:t>
            </w:r>
          </w:p>
        </w:tc>
        <w:tc>
          <w:tcPr>
            <w:tcW w:w="4819" w:type="dxa"/>
            <w:vAlign w:val="center"/>
          </w:tcPr>
          <w:p w:rsidR="004745E6" w:rsidRPr="00BB31FB" w:rsidRDefault="004745E6" w:rsidP="00354322">
            <w:pPr>
              <w:ind w:left="57" w:right="57"/>
              <w:jc w:val="both"/>
              <w:rPr>
                <w:snapToGrid w:val="0"/>
              </w:rPr>
            </w:pPr>
            <w:r w:rsidRPr="00BB31FB">
              <w:rPr>
                <w:snapToGrid w:val="0"/>
              </w:rPr>
              <w:t xml:space="preserve">Storno objednávky před zavedením služby sdílený přístup k úseku účastnického kovového vedení </w:t>
            </w:r>
          </w:p>
          <w:p w:rsidR="004745E6" w:rsidRPr="00BB31FB" w:rsidRDefault="004745E6" w:rsidP="00354322">
            <w:pPr>
              <w:ind w:left="57" w:right="57"/>
              <w:jc w:val="both"/>
              <w:rPr>
                <w:snapToGrid w:val="0"/>
              </w:rPr>
            </w:pPr>
            <w:r w:rsidRPr="00BB31FB">
              <w:rPr>
                <w:i/>
                <w:snapToGrid w:val="0"/>
                <w:sz w:val="18"/>
                <w:szCs w:val="18"/>
              </w:rPr>
              <w:t>(</w:t>
            </w:r>
            <w:r w:rsidRPr="00BB31FB">
              <w:rPr>
                <w:i/>
                <w:sz w:val="18"/>
                <w:szCs w:val="18"/>
              </w:rPr>
              <w:t>Storno objednávky SPÚ</w:t>
            </w:r>
            <w:r w:rsidRPr="00BB31FB">
              <w:rPr>
                <w:i/>
                <w:snapToGrid w:val="0"/>
                <w:sz w:val="18"/>
                <w:szCs w:val="18"/>
              </w:rPr>
              <w:t xml:space="preserve"> – zpráva ABORT</w:t>
            </w:r>
            <w:r w:rsidRPr="00BB31FB">
              <w:rPr>
                <w:i/>
                <w:sz w:val="18"/>
                <w:szCs w:val="18"/>
              </w:rPr>
              <w:t>)</w:t>
            </w:r>
          </w:p>
        </w:tc>
        <w:tc>
          <w:tcPr>
            <w:tcW w:w="3260" w:type="dxa"/>
            <w:vAlign w:val="center"/>
          </w:tcPr>
          <w:p w:rsidR="004745E6" w:rsidRPr="00D81FED" w:rsidRDefault="00F76A84" w:rsidP="00CA4940">
            <w:pPr>
              <w:jc w:val="center"/>
              <w:rPr>
                <w:i/>
                <w:snapToGrid w:val="0"/>
              </w:rPr>
            </w:pPr>
            <w:r>
              <w:rPr>
                <w:i/>
                <w:snapToGrid w:val="0"/>
              </w:rPr>
              <w:t xml:space="preserve"> </w:t>
            </w:r>
            <w:r w:rsidR="00982994">
              <w:rPr>
                <w:i/>
                <w:snapToGrid w:val="0"/>
              </w:rPr>
              <w:t>8</w:t>
            </w:r>
            <w:r w:rsidR="00CA4940">
              <w:rPr>
                <w:i/>
                <w:snapToGrid w:val="0"/>
              </w:rPr>
              <w:t>14</w:t>
            </w:r>
            <w:r>
              <w:rPr>
                <w:i/>
                <w:snapToGrid w:val="0"/>
              </w:rPr>
              <w:t>,-</w:t>
            </w:r>
          </w:p>
        </w:tc>
      </w:tr>
      <w:tr w:rsidR="004745E6" w:rsidRPr="007A2176">
        <w:trPr>
          <w:trHeight w:val="226"/>
        </w:trPr>
        <w:tc>
          <w:tcPr>
            <w:tcW w:w="993" w:type="dxa"/>
            <w:vAlign w:val="center"/>
          </w:tcPr>
          <w:p w:rsidR="004745E6" w:rsidRPr="007A2176" w:rsidRDefault="004745E6" w:rsidP="00435243">
            <w:pPr>
              <w:numPr>
                <w:ilvl w:val="0"/>
                <w:numId w:val="23"/>
              </w:numPr>
              <w:tabs>
                <w:tab w:val="center" w:pos="567"/>
              </w:tabs>
              <w:ind w:left="-30" w:right="-30"/>
              <w:jc w:val="center"/>
            </w:pPr>
          </w:p>
        </w:tc>
        <w:tc>
          <w:tcPr>
            <w:tcW w:w="4819" w:type="dxa"/>
            <w:vAlign w:val="center"/>
          </w:tcPr>
          <w:p w:rsidR="004745E6" w:rsidRPr="00BB31FB" w:rsidRDefault="004745E6" w:rsidP="0082158A">
            <w:pPr>
              <w:ind w:left="57" w:right="57"/>
              <w:jc w:val="both"/>
              <w:rPr>
                <w:snapToGrid w:val="0"/>
              </w:rPr>
            </w:pPr>
            <w:r w:rsidRPr="00BB31FB">
              <w:rPr>
                <w:snapToGrid w:val="0"/>
              </w:rPr>
              <w:t>Změna služby sdílený přístup k úseku účastnického kovového vedení na plné zpřístupnění úseku</w:t>
            </w:r>
            <w:r w:rsidR="00AC0E81" w:rsidRPr="00BB31FB">
              <w:rPr>
                <w:snapToGrid w:val="0"/>
              </w:rPr>
              <w:t xml:space="preserve"> účastnického vedení bez změny </w:t>
            </w:r>
            <w:r w:rsidRPr="00BB31FB">
              <w:rPr>
                <w:snapToGrid w:val="0"/>
              </w:rPr>
              <w:t>třídy služby a pozice na předávacím rozvodu</w:t>
            </w:r>
          </w:p>
          <w:p w:rsidR="004745E6" w:rsidRPr="00BB31FB" w:rsidRDefault="004745E6" w:rsidP="0082158A">
            <w:pPr>
              <w:ind w:left="57" w:right="57"/>
              <w:jc w:val="both"/>
              <w:rPr>
                <w:i/>
                <w:snapToGrid w:val="0"/>
                <w:sz w:val="18"/>
              </w:rPr>
            </w:pPr>
            <w:r w:rsidRPr="00BB31FB">
              <w:rPr>
                <w:i/>
                <w:snapToGrid w:val="0"/>
                <w:sz w:val="18"/>
              </w:rPr>
              <w:t>(Změna služby z SPÚ na PPÚ na základě CONVERT bez změny třídy služby a pozice na PR)</w:t>
            </w:r>
          </w:p>
        </w:tc>
        <w:tc>
          <w:tcPr>
            <w:tcW w:w="3260" w:type="dxa"/>
            <w:vAlign w:val="center"/>
          </w:tcPr>
          <w:p w:rsidR="004745E6" w:rsidRPr="007A2176" w:rsidRDefault="00F76A84" w:rsidP="00CA4940">
            <w:pPr>
              <w:jc w:val="center"/>
              <w:rPr>
                <w:i/>
                <w:snapToGrid w:val="0"/>
              </w:rPr>
            </w:pPr>
            <w:r>
              <w:rPr>
                <w:i/>
                <w:snapToGrid w:val="0"/>
              </w:rPr>
              <w:t xml:space="preserve"> 1</w:t>
            </w:r>
            <w:r w:rsidR="00982994">
              <w:rPr>
                <w:i/>
                <w:snapToGrid w:val="0"/>
              </w:rPr>
              <w:t>3</w:t>
            </w:r>
            <w:r w:rsidR="00CA4940">
              <w:rPr>
                <w:i/>
                <w:snapToGrid w:val="0"/>
              </w:rPr>
              <w:t>4</w:t>
            </w:r>
            <w:r>
              <w:rPr>
                <w:i/>
                <w:snapToGrid w:val="0"/>
              </w:rPr>
              <w:t>,-</w:t>
            </w:r>
          </w:p>
        </w:tc>
      </w:tr>
      <w:tr w:rsidR="004745E6" w:rsidRPr="007A2176">
        <w:trPr>
          <w:trHeight w:val="226"/>
        </w:trPr>
        <w:tc>
          <w:tcPr>
            <w:tcW w:w="993" w:type="dxa"/>
            <w:vAlign w:val="center"/>
          </w:tcPr>
          <w:p w:rsidR="004745E6" w:rsidRPr="007A2176" w:rsidRDefault="004745E6" w:rsidP="00435243">
            <w:pPr>
              <w:numPr>
                <w:ilvl w:val="0"/>
                <w:numId w:val="23"/>
              </w:numPr>
              <w:tabs>
                <w:tab w:val="center" w:pos="567"/>
              </w:tabs>
              <w:ind w:left="-30" w:right="-30"/>
              <w:jc w:val="center"/>
            </w:pPr>
          </w:p>
        </w:tc>
        <w:tc>
          <w:tcPr>
            <w:tcW w:w="4819" w:type="dxa"/>
            <w:vAlign w:val="center"/>
          </w:tcPr>
          <w:p w:rsidR="004745E6" w:rsidRPr="00BB31FB" w:rsidRDefault="004745E6" w:rsidP="0082158A">
            <w:pPr>
              <w:ind w:left="57" w:right="57"/>
              <w:jc w:val="both"/>
              <w:rPr>
                <w:snapToGrid w:val="0"/>
              </w:rPr>
            </w:pPr>
            <w:r w:rsidRPr="00BB31FB">
              <w:rPr>
                <w:snapToGrid w:val="0"/>
              </w:rPr>
              <w:t>Změna služby sdílený přístup k úseku účastnického kovového vedení na plné zpřístupnění úseku</w:t>
            </w:r>
            <w:r w:rsidR="00AC0E81" w:rsidRPr="00BB31FB">
              <w:rPr>
                <w:snapToGrid w:val="0"/>
              </w:rPr>
              <w:t xml:space="preserve"> účastnického vedení se </w:t>
            </w:r>
            <w:r w:rsidR="00AC0E81" w:rsidRPr="00BB31FB">
              <w:rPr>
                <w:snapToGrid w:val="0"/>
              </w:rPr>
              <w:lastRenderedPageBreak/>
              <w:t xml:space="preserve">změnou </w:t>
            </w:r>
            <w:r w:rsidRPr="00BB31FB">
              <w:rPr>
                <w:snapToGrid w:val="0"/>
              </w:rPr>
              <w:t>třídy služby a pozice na předávacím rozvodu</w:t>
            </w:r>
          </w:p>
          <w:p w:rsidR="004745E6" w:rsidRPr="00BB31FB" w:rsidRDefault="004745E6" w:rsidP="0082158A">
            <w:pPr>
              <w:ind w:left="57" w:right="57"/>
              <w:jc w:val="both"/>
              <w:rPr>
                <w:i/>
                <w:snapToGrid w:val="0"/>
                <w:sz w:val="18"/>
              </w:rPr>
            </w:pPr>
            <w:r w:rsidRPr="00BB31FB">
              <w:rPr>
                <w:i/>
                <w:snapToGrid w:val="0"/>
                <w:sz w:val="18"/>
              </w:rPr>
              <w:t>(Změna služby z SPÚ na PPÚ na základě CONVERT se změnou třídy služby a pozice na PR)</w:t>
            </w:r>
          </w:p>
        </w:tc>
        <w:tc>
          <w:tcPr>
            <w:tcW w:w="3260" w:type="dxa"/>
            <w:vAlign w:val="center"/>
          </w:tcPr>
          <w:p w:rsidR="004745E6" w:rsidRPr="007A2176" w:rsidRDefault="00C026D3" w:rsidP="00CA4940">
            <w:pPr>
              <w:jc w:val="center"/>
              <w:rPr>
                <w:i/>
                <w:snapToGrid w:val="0"/>
              </w:rPr>
            </w:pPr>
            <w:r>
              <w:rPr>
                <w:i/>
                <w:snapToGrid w:val="0"/>
              </w:rPr>
              <w:lastRenderedPageBreak/>
              <w:t xml:space="preserve"> 6</w:t>
            </w:r>
            <w:r w:rsidR="00CA4940">
              <w:rPr>
                <w:i/>
                <w:snapToGrid w:val="0"/>
              </w:rPr>
              <w:t>59</w:t>
            </w:r>
            <w:r w:rsidR="00F76A84">
              <w:rPr>
                <w:i/>
                <w:snapToGrid w:val="0"/>
              </w:rPr>
              <w:t>,-</w:t>
            </w:r>
          </w:p>
        </w:tc>
      </w:tr>
      <w:tr w:rsidR="004745E6" w:rsidRPr="00D81FED">
        <w:trPr>
          <w:trHeight w:val="454"/>
        </w:trPr>
        <w:tc>
          <w:tcPr>
            <w:tcW w:w="993" w:type="dxa"/>
            <w:vAlign w:val="center"/>
          </w:tcPr>
          <w:p w:rsidR="004745E6" w:rsidRPr="00D81FED" w:rsidRDefault="004745E6" w:rsidP="00435243">
            <w:pPr>
              <w:numPr>
                <w:ilvl w:val="0"/>
                <w:numId w:val="23"/>
              </w:numPr>
              <w:tabs>
                <w:tab w:val="center" w:pos="567"/>
              </w:tabs>
              <w:ind w:left="-30" w:right="-30"/>
              <w:jc w:val="center"/>
            </w:pPr>
          </w:p>
        </w:tc>
        <w:tc>
          <w:tcPr>
            <w:tcW w:w="4819" w:type="dxa"/>
            <w:vAlign w:val="center"/>
          </w:tcPr>
          <w:p w:rsidR="004745E6" w:rsidRPr="00BB31FB" w:rsidRDefault="004745E6" w:rsidP="0082158A">
            <w:pPr>
              <w:ind w:left="57" w:right="57"/>
              <w:jc w:val="both"/>
              <w:rPr>
                <w:snapToGrid w:val="0"/>
              </w:rPr>
            </w:pPr>
            <w:r w:rsidRPr="00BB31FB">
              <w:rPr>
                <w:snapToGrid w:val="0"/>
              </w:rPr>
              <w:t xml:space="preserve">Činnosti v důsledku nesprávného hlášení poruchy </w:t>
            </w:r>
          </w:p>
        </w:tc>
        <w:tc>
          <w:tcPr>
            <w:tcW w:w="3260" w:type="dxa"/>
            <w:vAlign w:val="center"/>
          </w:tcPr>
          <w:p w:rsidR="004745E6" w:rsidRPr="00D81FED" w:rsidRDefault="00F76A84" w:rsidP="00CA4940">
            <w:pPr>
              <w:jc w:val="center"/>
              <w:rPr>
                <w:i/>
                <w:snapToGrid w:val="0"/>
              </w:rPr>
            </w:pPr>
            <w:r>
              <w:rPr>
                <w:i/>
                <w:snapToGrid w:val="0"/>
              </w:rPr>
              <w:t xml:space="preserve"> </w:t>
            </w:r>
            <w:r w:rsidR="00C026D3">
              <w:rPr>
                <w:i/>
                <w:snapToGrid w:val="0"/>
              </w:rPr>
              <w:t>1 0</w:t>
            </w:r>
            <w:r w:rsidR="00982994">
              <w:rPr>
                <w:i/>
                <w:snapToGrid w:val="0"/>
              </w:rPr>
              <w:t>1</w:t>
            </w:r>
            <w:r w:rsidR="00CA4940">
              <w:rPr>
                <w:i/>
                <w:snapToGrid w:val="0"/>
              </w:rPr>
              <w:t>2</w:t>
            </w:r>
            <w:r>
              <w:rPr>
                <w:i/>
                <w:snapToGrid w:val="0"/>
              </w:rPr>
              <w:t>,-</w:t>
            </w:r>
          </w:p>
        </w:tc>
      </w:tr>
      <w:tr w:rsidR="004745E6" w:rsidRPr="00D81FED">
        <w:trPr>
          <w:trHeight w:val="226"/>
        </w:trPr>
        <w:tc>
          <w:tcPr>
            <w:tcW w:w="993" w:type="dxa"/>
            <w:vAlign w:val="center"/>
          </w:tcPr>
          <w:p w:rsidR="004745E6" w:rsidRPr="00D81FED" w:rsidRDefault="004745E6" w:rsidP="00435243">
            <w:pPr>
              <w:numPr>
                <w:ilvl w:val="0"/>
                <w:numId w:val="23"/>
              </w:numPr>
              <w:tabs>
                <w:tab w:val="center" w:pos="567"/>
              </w:tabs>
              <w:ind w:left="-30" w:right="-30"/>
              <w:jc w:val="center"/>
            </w:pPr>
          </w:p>
        </w:tc>
        <w:tc>
          <w:tcPr>
            <w:tcW w:w="4819" w:type="dxa"/>
            <w:vAlign w:val="center"/>
          </w:tcPr>
          <w:p w:rsidR="004745E6" w:rsidRPr="00BB31FB" w:rsidRDefault="004745E6" w:rsidP="0082158A">
            <w:pPr>
              <w:ind w:left="57" w:right="57"/>
              <w:jc w:val="both"/>
              <w:rPr>
                <w:snapToGrid w:val="0"/>
              </w:rPr>
            </w:pPr>
            <w:r w:rsidRPr="00BB31FB">
              <w:rPr>
                <w:snapToGrid w:val="0"/>
              </w:rPr>
              <w:t>Zjištění identifikace konkrétního účastnického kovového vedení – manuální zpracování</w:t>
            </w:r>
          </w:p>
          <w:p w:rsidR="004745E6" w:rsidRPr="00BB31FB" w:rsidRDefault="004745E6" w:rsidP="0082158A">
            <w:pPr>
              <w:pStyle w:val="Nadpis4"/>
              <w:ind w:right="57"/>
              <w:jc w:val="both"/>
              <w:rPr>
                <w:sz w:val="18"/>
              </w:rPr>
            </w:pPr>
            <w:r w:rsidRPr="00BB31FB">
              <w:rPr>
                <w:sz w:val="18"/>
              </w:rPr>
              <w:t>(MDF QUERY)</w:t>
            </w:r>
          </w:p>
        </w:tc>
        <w:tc>
          <w:tcPr>
            <w:tcW w:w="3260" w:type="dxa"/>
            <w:vAlign w:val="center"/>
          </w:tcPr>
          <w:p w:rsidR="004745E6" w:rsidRPr="00D81FED" w:rsidRDefault="00F76A84" w:rsidP="00FB2484">
            <w:pPr>
              <w:jc w:val="center"/>
              <w:rPr>
                <w:i/>
                <w:snapToGrid w:val="0"/>
              </w:rPr>
            </w:pPr>
            <w:r>
              <w:rPr>
                <w:i/>
                <w:snapToGrid w:val="0"/>
              </w:rPr>
              <w:t xml:space="preserve"> </w:t>
            </w:r>
            <w:r w:rsidR="00982994">
              <w:rPr>
                <w:i/>
                <w:snapToGrid w:val="0"/>
              </w:rPr>
              <w:t>2</w:t>
            </w:r>
            <w:r w:rsidR="00FB2484">
              <w:rPr>
                <w:i/>
                <w:snapToGrid w:val="0"/>
              </w:rPr>
              <w:t>8</w:t>
            </w:r>
            <w:r w:rsidR="00982994">
              <w:rPr>
                <w:i/>
                <w:snapToGrid w:val="0"/>
              </w:rPr>
              <w:t>9</w:t>
            </w:r>
            <w:r>
              <w:rPr>
                <w:i/>
                <w:snapToGrid w:val="0"/>
              </w:rPr>
              <w:t>,-</w:t>
            </w:r>
          </w:p>
        </w:tc>
      </w:tr>
      <w:tr w:rsidR="004745E6" w:rsidRPr="00D81FED">
        <w:trPr>
          <w:trHeight w:val="226"/>
        </w:trPr>
        <w:tc>
          <w:tcPr>
            <w:tcW w:w="993" w:type="dxa"/>
            <w:vAlign w:val="center"/>
          </w:tcPr>
          <w:p w:rsidR="004745E6" w:rsidRPr="00D81FED" w:rsidRDefault="004745E6" w:rsidP="00435243">
            <w:pPr>
              <w:numPr>
                <w:ilvl w:val="0"/>
                <w:numId w:val="23"/>
              </w:numPr>
              <w:tabs>
                <w:tab w:val="center" w:pos="567"/>
              </w:tabs>
              <w:ind w:left="-30" w:right="-30"/>
              <w:jc w:val="center"/>
            </w:pPr>
          </w:p>
        </w:tc>
        <w:tc>
          <w:tcPr>
            <w:tcW w:w="4819" w:type="dxa"/>
            <w:vAlign w:val="center"/>
          </w:tcPr>
          <w:p w:rsidR="004745E6" w:rsidRPr="00BB31FB" w:rsidRDefault="004745E6" w:rsidP="0082158A">
            <w:pPr>
              <w:ind w:left="57" w:right="57"/>
              <w:jc w:val="both"/>
              <w:rPr>
                <w:snapToGrid w:val="0"/>
              </w:rPr>
            </w:pPr>
            <w:r w:rsidRPr="00BB31FB">
              <w:rPr>
                <w:snapToGrid w:val="0"/>
              </w:rPr>
              <w:t>Ověření možnosti zřízení požadované třídy služby</w:t>
            </w:r>
          </w:p>
          <w:p w:rsidR="004745E6" w:rsidRPr="00BB31FB" w:rsidRDefault="004745E6" w:rsidP="0082158A">
            <w:pPr>
              <w:pStyle w:val="Nadpis4"/>
              <w:ind w:right="57"/>
              <w:jc w:val="both"/>
            </w:pPr>
            <w:r w:rsidRPr="00BB31FB">
              <w:rPr>
                <w:sz w:val="18"/>
              </w:rPr>
              <w:t>(LQI)</w:t>
            </w:r>
          </w:p>
        </w:tc>
        <w:tc>
          <w:tcPr>
            <w:tcW w:w="3260" w:type="dxa"/>
            <w:vAlign w:val="center"/>
          </w:tcPr>
          <w:p w:rsidR="004745E6" w:rsidRPr="00D81FED" w:rsidRDefault="00F76A84" w:rsidP="00FB2484">
            <w:pPr>
              <w:jc w:val="center"/>
              <w:rPr>
                <w:i/>
                <w:snapToGrid w:val="0"/>
              </w:rPr>
            </w:pPr>
            <w:r>
              <w:rPr>
                <w:i/>
                <w:snapToGrid w:val="0"/>
              </w:rPr>
              <w:t xml:space="preserve"> 1 5</w:t>
            </w:r>
            <w:r w:rsidR="00FB2484">
              <w:rPr>
                <w:i/>
                <w:snapToGrid w:val="0"/>
              </w:rPr>
              <w:t>50</w:t>
            </w:r>
            <w:r>
              <w:rPr>
                <w:i/>
                <w:snapToGrid w:val="0"/>
              </w:rPr>
              <w:t>,-</w:t>
            </w:r>
          </w:p>
        </w:tc>
      </w:tr>
      <w:tr w:rsidR="001A547F" w:rsidRPr="00D81FED">
        <w:trPr>
          <w:trHeight w:val="608"/>
        </w:trPr>
        <w:tc>
          <w:tcPr>
            <w:tcW w:w="993" w:type="dxa"/>
            <w:vAlign w:val="center"/>
          </w:tcPr>
          <w:p w:rsidR="001A547F" w:rsidRPr="00D81FED" w:rsidRDefault="001A547F" w:rsidP="00435243">
            <w:pPr>
              <w:numPr>
                <w:ilvl w:val="0"/>
                <w:numId w:val="23"/>
              </w:numPr>
              <w:tabs>
                <w:tab w:val="center" w:pos="567"/>
              </w:tabs>
              <w:ind w:left="-30" w:right="-30"/>
              <w:jc w:val="center"/>
            </w:pPr>
          </w:p>
        </w:tc>
        <w:tc>
          <w:tcPr>
            <w:tcW w:w="4819" w:type="dxa"/>
            <w:vAlign w:val="center"/>
          </w:tcPr>
          <w:p w:rsidR="001A547F" w:rsidRPr="00BB31FB" w:rsidRDefault="001A547F" w:rsidP="00B066F6">
            <w:pPr>
              <w:ind w:left="57" w:right="57"/>
              <w:jc w:val="both"/>
              <w:rPr>
                <w:snapToGrid w:val="0"/>
              </w:rPr>
            </w:pPr>
            <w:r w:rsidRPr="00BB31FB">
              <w:rPr>
                <w:snapToGrid w:val="0"/>
              </w:rPr>
              <w:t>Ověření výsledků odmítnuté objednávky zřízení zpřístupnění účastnického kovového vedení</w:t>
            </w:r>
          </w:p>
          <w:p w:rsidR="001A547F" w:rsidRPr="00BB31FB" w:rsidRDefault="001A547F" w:rsidP="00B066F6">
            <w:pPr>
              <w:pStyle w:val="Nadpis4"/>
              <w:ind w:right="57"/>
              <w:jc w:val="both"/>
            </w:pPr>
            <w:r w:rsidRPr="00BB31FB">
              <w:rPr>
                <w:sz w:val="18"/>
              </w:rPr>
              <w:t>(LQM)</w:t>
            </w:r>
          </w:p>
        </w:tc>
        <w:tc>
          <w:tcPr>
            <w:tcW w:w="3260" w:type="dxa"/>
            <w:vAlign w:val="center"/>
          </w:tcPr>
          <w:p w:rsidR="001A547F" w:rsidRPr="00D81FED" w:rsidRDefault="00F76A84" w:rsidP="00FB2484">
            <w:pPr>
              <w:jc w:val="center"/>
              <w:rPr>
                <w:i/>
                <w:snapToGrid w:val="0"/>
              </w:rPr>
            </w:pPr>
            <w:r>
              <w:rPr>
                <w:i/>
                <w:snapToGrid w:val="0"/>
              </w:rPr>
              <w:t xml:space="preserve"> 6</w:t>
            </w:r>
            <w:r w:rsidR="00E7204C">
              <w:rPr>
                <w:i/>
                <w:snapToGrid w:val="0"/>
              </w:rPr>
              <w:t>1</w:t>
            </w:r>
            <w:r w:rsidR="00FB2484">
              <w:rPr>
                <w:i/>
                <w:snapToGrid w:val="0"/>
              </w:rPr>
              <w:t>9</w:t>
            </w:r>
            <w:r>
              <w:rPr>
                <w:i/>
                <w:snapToGrid w:val="0"/>
              </w:rPr>
              <w:t>,-</w:t>
            </w:r>
          </w:p>
        </w:tc>
      </w:tr>
      <w:tr w:rsidR="001A547F" w:rsidRPr="00E53595">
        <w:trPr>
          <w:trHeight w:val="608"/>
        </w:trPr>
        <w:tc>
          <w:tcPr>
            <w:tcW w:w="993" w:type="dxa"/>
            <w:vAlign w:val="center"/>
          </w:tcPr>
          <w:p w:rsidR="001A547F" w:rsidRPr="00E53595" w:rsidRDefault="001A547F" w:rsidP="00435243">
            <w:pPr>
              <w:numPr>
                <w:ilvl w:val="0"/>
                <w:numId w:val="23"/>
              </w:numPr>
              <w:tabs>
                <w:tab w:val="center" w:pos="567"/>
              </w:tabs>
              <w:ind w:left="-30" w:right="-30"/>
              <w:jc w:val="center"/>
            </w:pPr>
          </w:p>
        </w:tc>
        <w:tc>
          <w:tcPr>
            <w:tcW w:w="4819" w:type="dxa"/>
          </w:tcPr>
          <w:p w:rsidR="001A547F" w:rsidRPr="00E53595" w:rsidRDefault="001A547F" w:rsidP="00B066F6">
            <w:pPr>
              <w:ind w:left="57" w:right="57"/>
              <w:jc w:val="both"/>
              <w:rPr>
                <w:snapToGrid w:val="0"/>
              </w:rPr>
            </w:pPr>
            <w:r w:rsidRPr="00E53595">
              <w:rPr>
                <w:snapToGrid w:val="0"/>
              </w:rPr>
              <w:t>Zřízení a zpřístupnění kovového účastnického vedení na základě PROVIDE B (neaktivní vedení)</w:t>
            </w:r>
          </w:p>
        </w:tc>
        <w:tc>
          <w:tcPr>
            <w:tcW w:w="3260" w:type="dxa"/>
            <w:vAlign w:val="center"/>
          </w:tcPr>
          <w:p w:rsidR="001A547F" w:rsidRPr="00E53595" w:rsidRDefault="00B066F6" w:rsidP="00B066F6">
            <w:pPr>
              <w:jc w:val="center"/>
              <w:rPr>
                <w:i/>
                <w:snapToGrid w:val="0"/>
              </w:rPr>
            </w:pPr>
            <w:r w:rsidRPr="00E53595">
              <w:rPr>
                <w:i/>
                <w:snapToGrid w:val="0"/>
              </w:rPr>
              <w:t>Maximálně ve výši aktuálně účtované maloobchodní ceny za zřízení účastnické stanice + cenová položka zpřístupnění 1.1</w:t>
            </w:r>
            <w:r w:rsidR="00D21273">
              <w:rPr>
                <w:i/>
                <w:snapToGrid w:val="0"/>
              </w:rPr>
              <w:t> </w:t>
            </w:r>
            <w:r w:rsidRPr="00E53595">
              <w:rPr>
                <w:i/>
                <w:snapToGrid w:val="0"/>
              </w:rPr>
              <w:t>a</w:t>
            </w:r>
          </w:p>
        </w:tc>
      </w:tr>
    </w:tbl>
    <w:p w:rsidR="00851E6B" w:rsidRDefault="0098664A" w:rsidP="00A27C6F">
      <w:pPr>
        <w:spacing w:before="240" w:after="120"/>
        <w:ind w:firstLine="709"/>
        <w:jc w:val="both"/>
        <w:outlineLvl w:val="0"/>
      </w:pPr>
      <w:r>
        <w:t>b)</w:t>
      </w:r>
      <w:r w:rsidR="00DE4DAA">
        <w:t xml:space="preserve"> </w:t>
      </w:r>
      <w:r w:rsidR="00851E6B">
        <w:t xml:space="preserve">ceny za poskytnutí služeb zpřístupnění účastnického kovového vedení nebo jeho úseku </w:t>
      </w:r>
      <w:r w:rsidR="00DF6C5C">
        <w:t>uplatňované</w:t>
      </w:r>
      <w:r w:rsidR="00851E6B">
        <w:t xml:space="preserve"> měsíčně: </w:t>
      </w:r>
    </w:p>
    <w:tbl>
      <w:tblPr>
        <w:tblW w:w="907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96"/>
        <w:gridCol w:w="4817"/>
        <w:gridCol w:w="3260"/>
      </w:tblGrid>
      <w:tr w:rsidR="00851E6B">
        <w:trPr>
          <w:trHeight w:val="879"/>
        </w:trPr>
        <w:tc>
          <w:tcPr>
            <w:tcW w:w="996" w:type="dxa"/>
            <w:tcBorders>
              <w:top w:val="single" w:sz="4" w:space="0" w:color="auto"/>
              <w:left w:val="single" w:sz="4" w:space="0" w:color="auto"/>
            </w:tcBorders>
            <w:vAlign w:val="center"/>
          </w:tcPr>
          <w:p w:rsidR="00851E6B" w:rsidRDefault="00851E6B" w:rsidP="0082158A">
            <w:pPr>
              <w:ind w:left="57" w:right="57"/>
              <w:jc w:val="center"/>
            </w:pPr>
          </w:p>
        </w:tc>
        <w:tc>
          <w:tcPr>
            <w:tcW w:w="4817" w:type="dxa"/>
            <w:tcBorders>
              <w:top w:val="single" w:sz="4" w:space="0" w:color="auto"/>
              <w:left w:val="single" w:sz="4" w:space="0" w:color="auto"/>
            </w:tcBorders>
            <w:vAlign w:val="center"/>
          </w:tcPr>
          <w:p w:rsidR="00851E6B" w:rsidRDefault="00851E6B" w:rsidP="0082158A">
            <w:pPr>
              <w:ind w:left="57" w:right="57"/>
              <w:jc w:val="both"/>
            </w:pPr>
            <w:r>
              <w:rPr>
                <w:snapToGrid w:val="0"/>
              </w:rPr>
              <w:t>Název služby</w:t>
            </w:r>
          </w:p>
        </w:tc>
        <w:tc>
          <w:tcPr>
            <w:tcW w:w="3260" w:type="dxa"/>
            <w:vAlign w:val="center"/>
          </w:tcPr>
          <w:p w:rsidR="00851E6B" w:rsidRDefault="00851E6B" w:rsidP="0082158A">
            <w:pPr>
              <w:ind w:left="57" w:right="57"/>
              <w:jc w:val="center"/>
              <w:rPr>
                <w:snapToGrid w:val="0"/>
              </w:rPr>
            </w:pPr>
            <w:r>
              <w:rPr>
                <w:snapToGrid w:val="0"/>
              </w:rPr>
              <w:t>Maximální cena v Kč bez daně z přidané hodnoty</w:t>
            </w:r>
          </w:p>
        </w:tc>
      </w:tr>
      <w:tr w:rsidR="00D90D55">
        <w:tblPrEx>
          <w:tblCellMar>
            <w:left w:w="70" w:type="dxa"/>
            <w:right w:w="70" w:type="dxa"/>
          </w:tblCellMar>
        </w:tblPrEx>
        <w:trPr>
          <w:trHeight w:val="769"/>
        </w:trPr>
        <w:tc>
          <w:tcPr>
            <w:tcW w:w="996" w:type="dxa"/>
            <w:vAlign w:val="center"/>
          </w:tcPr>
          <w:p w:rsidR="00D90D55" w:rsidRDefault="00D90D55" w:rsidP="00215EFD">
            <w:pPr>
              <w:numPr>
                <w:ilvl w:val="0"/>
                <w:numId w:val="25"/>
              </w:numPr>
              <w:tabs>
                <w:tab w:val="center" w:pos="567"/>
              </w:tabs>
              <w:ind w:right="-30"/>
              <w:jc w:val="center"/>
            </w:pPr>
          </w:p>
        </w:tc>
        <w:tc>
          <w:tcPr>
            <w:tcW w:w="4817" w:type="dxa"/>
          </w:tcPr>
          <w:p w:rsidR="00D90D55" w:rsidRDefault="00D90D55" w:rsidP="0082158A">
            <w:pPr>
              <w:ind w:left="57" w:right="57"/>
              <w:jc w:val="both"/>
              <w:rPr>
                <w:snapToGrid w:val="0"/>
              </w:rPr>
            </w:pPr>
            <w:r>
              <w:rPr>
                <w:snapToGrid w:val="0"/>
              </w:rPr>
              <w:t>Měsíční pronájem jednoho účastnického kovového vedení pro službu plné zp</w:t>
            </w:r>
            <w:r w:rsidR="00154638">
              <w:rPr>
                <w:snapToGrid w:val="0"/>
              </w:rPr>
              <w:t>řístupnění účastnického kovového</w:t>
            </w:r>
            <w:r>
              <w:rPr>
                <w:snapToGrid w:val="0"/>
              </w:rPr>
              <w:t xml:space="preserve"> vedení</w:t>
            </w:r>
          </w:p>
        </w:tc>
        <w:tc>
          <w:tcPr>
            <w:tcW w:w="3260" w:type="dxa"/>
            <w:vAlign w:val="center"/>
          </w:tcPr>
          <w:p w:rsidR="00D90D55" w:rsidRPr="0082158A" w:rsidRDefault="007128E3" w:rsidP="00FB2484">
            <w:pPr>
              <w:jc w:val="center"/>
              <w:rPr>
                <w:i/>
                <w:snapToGrid w:val="0"/>
              </w:rPr>
            </w:pPr>
            <w:r>
              <w:rPr>
                <w:i/>
                <w:snapToGrid w:val="0"/>
              </w:rPr>
              <w:t xml:space="preserve"> 1</w:t>
            </w:r>
            <w:r w:rsidR="00FB2484">
              <w:rPr>
                <w:i/>
                <w:snapToGrid w:val="0"/>
              </w:rPr>
              <w:t>7</w:t>
            </w:r>
            <w:r w:rsidR="00982994">
              <w:rPr>
                <w:i/>
                <w:snapToGrid w:val="0"/>
              </w:rPr>
              <w:t>5</w:t>
            </w:r>
            <w:r>
              <w:rPr>
                <w:i/>
                <w:snapToGrid w:val="0"/>
              </w:rPr>
              <w:t>,-</w:t>
            </w:r>
          </w:p>
        </w:tc>
      </w:tr>
      <w:tr w:rsidR="00D90D55">
        <w:tblPrEx>
          <w:tblCellMar>
            <w:left w:w="70" w:type="dxa"/>
            <w:right w:w="70" w:type="dxa"/>
          </w:tblCellMar>
        </w:tblPrEx>
        <w:trPr>
          <w:trHeight w:val="513"/>
        </w:trPr>
        <w:tc>
          <w:tcPr>
            <w:tcW w:w="996" w:type="dxa"/>
            <w:vAlign w:val="center"/>
          </w:tcPr>
          <w:p w:rsidR="00D90D55" w:rsidRDefault="00D90D55" w:rsidP="00215EFD">
            <w:pPr>
              <w:numPr>
                <w:ilvl w:val="0"/>
                <w:numId w:val="25"/>
              </w:numPr>
              <w:tabs>
                <w:tab w:val="center" w:pos="567"/>
              </w:tabs>
              <w:ind w:right="-30"/>
              <w:jc w:val="center"/>
            </w:pPr>
          </w:p>
        </w:tc>
        <w:tc>
          <w:tcPr>
            <w:tcW w:w="4817" w:type="dxa"/>
          </w:tcPr>
          <w:p w:rsidR="00D90D55" w:rsidRDefault="00D90D55" w:rsidP="0082158A">
            <w:pPr>
              <w:ind w:left="57" w:right="57"/>
              <w:jc w:val="both"/>
              <w:rPr>
                <w:snapToGrid w:val="0"/>
              </w:rPr>
            </w:pPr>
            <w:r>
              <w:rPr>
                <w:snapToGrid w:val="0"/>
              </w:rPr>
              <w:t>Měsíční pronájem jednoho účastnického kovového vedení pro službu sdílený přístup k účastnickému kovovému vedení</w:t>
            </w:r>
          </w:p>
        </w:tc>
        <w:tc>
          <w:tcPr>
            <w:tcW w:w="3260" w:type="dxa"/>
            <w:vAlign w:val="center"/>
          </w:tcPr>
          <w:p w:rsidR="00D90D55" w:rsidRPr="0082158A" w:rsidRDefault="007128E3" w:rsidP="00982994">
            <w:pPr>
              <w:jc w:val="center"/>
              <w:rPr>
                <w:i/>
                <w:snapToGrid w:val="0"/>
              </w:rPr>
            </w:pPr>
            <w:r>
              <w:rPr>
                <w:i/>
                <w:snapToGrid w:val="0"/>
              </w:rPr>
              <w:t xml:space="preserve"> </w:t>
            </w:r>
            <w:r w:rsidR="00982994">
              <w:rPr>
                <w:i/>
                <w:snapToGrid w:val="0"/>
              </w:rPr>
              <w:t>26</w:t>
            </w:r>
            <w:r>
              <w:rPr>
                <w:i/>
                <w:snapToGrid w:val="0"/>
              </w:rPr>
              <w:t>,-</w:t>
            </w:r>
          </w:p>
        </w:tc>
      </w:tr>
      <w:tr w:rsidR="00D90D55">
        <w:tblPrEx>
          <w:tblCellMar>
            <w:left w:w="70" w:type="dxa"/>
            <w:right w:w="70" w:type="dxa"/>
          </w:tblCellMar>
        </w:tblPrEx>
        <w:trPr>
          <w:trHeight w:val="754"/>
        </w:trPr>
        <w:tc>
          <w:tcPr>
            <w:tcW w:w="996" w:type="dxa"/>
            <w:vAlign w:val="center"/>
          </w:tcPr>
          <w:p w:rsidR="00D90D55" w:rsidRDefault="00D90D55" w:rsidP="00215EFD">
            <w:pPr>
              <w:numPr>
                <w:ilvl w:val="0"/>
                <w:numId w:val="25"/>
              </w:numPr>
              <w:tabs>
                <w:tab w:val="center" w:pos="567"/>
              </w:tabs>
              <w:ind w:right="-30"/>
              <w:jc w:val="center"/>
            </w:pPr>
          </w:p>
        </w:tc>
        <w:tc>
          <w:tcPr>
            <w:tcW w:w="4817" w:type="dxa"/>
          </w:tcPr>
          <w:p w:rsidR="00D90D55" w:rsidRDefault="00D90D55" w:rsidP="0082158A">
            <w:pPr>
              <w:ind w:left="57" w:right="57"/>
              <w:jc w:val="both"/>
              <w:rPr>
                <w:snapToGrid w:val="0"/>
              </w:rPr>
            </w:pPr>
            <w:r>
              <w:rPr>
                <w:snapToGrid w:val="0"/>
              </w:rPr>
              <w:t>Měsíční pronájem jednoho účastnického kovového vedení pro službu plné zpřístupnění úseku účastnického vedení</w:t>
            </w:r>
          </w:p>
        </w:tc>
        <w:tc>
          <w:tcPr>
            <w:tcW w:w="3260" w:type="dxa"/>
            <w:vAlign w:val="center"/>
          </w:tcPr>
          <w:p w:rsidR="00D90D55" w:rsidRPr="0082158A" w:rsidRDefault="007128E3" w:rsidP="00FB2484">
            <w:pPr>
              <w:jc w:val="center"/>
              <w:rPr>
                <w:i/>
                <w:snapToGrid w:val="0"/>
              </w:rPr>
            </w:pPr>
            <w:r>
              <w:rPr>
                <w:i/>
                <w:snapToGrid w:val="0"/>
              </w:rPr>
              <w:t xml:space="preserve"> 1</w:t>
            </w:r>
            <w:r w:rsidR="00982994">
              <w:rPr>
                <w:i/>
                <w:snapToGrid w:val="0"/>
              </w:rPr>
              <w:t>7</w:t>
            </w:r>
            <w:r w:rsidR="00FB2484">
              <w:rPr>
                <w:i/>
                <w:snapToGrid w:val="0"/>
              </w:rPr>
              <w:t>2</w:t>
            </w:r>
            <w:r>
              <w:rPr>
                <w:i/>
                <w:snapToGrid w:val="0"/>
              </w:rPr>
              <w:t>,-</w:t>
            </w:r>
          </w:p>
        </w:tc>
      </w:tr>
      <w:tr w:rsidR="00D90D55">
        <w:tblPrEx>
          <w:tblCellMar>
            <w:left w:w="70" w:type="dxa"/>
            <w:right w:w="70" w:type="dxa"/>
          </w:tblCellMar>
        </w:tblPrEx>
        <w:trPr>
          <w:trHeight w:val="769"/>
        </w:trPr>
        <w:tc>
          <w:tcPr>
            <w:tcW w:w="996" w:type="dxa"/>
            <w:vAlign w:val="center"/>
          </w:tcPr>
          <w:p w:rsidR="00D90D55" w:rsidRDefault="00D90D55" w:rsidP="00215EFD">
            <w:pPr>
              <w:numPr>
                <w:ilvl w:val="0"/>
                <w:numId w:val="25"/>
              </w:numPr>
              <w:tabs>
                <w:tab w:val="center" w:pos="567"/>
              </w:tabs>
              <w:ind w:right="-30"/>
              <w:jc w:val="center"/>
            </w:pPr>
          </w:p>
        </w:tc>
        <w:tc>
          <w:tcPr>
            <w:tcW w:w="4817" w:type="dxa"/>
          </w:tcPr>
          <w:p w:rsidR="00D90D55" w:rsidRDefault="00D90D55" w:rsidP="0082158A">
            <w:pPr>
              <w:ind w:left="57" w:right="57"/>
              <w:jc w:val="both"/>
              <w:rPr>
                <w:snapToGrid w:val="0"/>
              </w:rPr>
            </w:pPr>
            <w:r>
              <w:rPr>
                <w:snapToGrid w:val="0"/>
              </w:rPr>
              <w:t>Měsíční pronájem jednoho účastnického kovového vedení pro službu sdílený přístup k úseku účastnického vedení</w:t>
            </w:r>
          </w:p>
        </w:tc>
        <w:tc>
          <w:tcPr>
            <w:tcW w:w="3260" w:type="dxa"/>
            <w:vAlign w:val="center"/>
          </w:tcPr>
          <w:p w:rsidR="00D90D55" w:rsidRPr="0082158A" w:rsidRDefault="007128E3" w:rsidP="00982994">
            <w:pPr>
              <w:jc w:val="center"/>
              <w:rPr>
                <w:i/>
                <w:snapToGrid w:val="0"/>
              </w:rPr>
            </w:pPr>
            <w:r>
              <w:rPr>
                <w:i/>
                <w:snapToGrid w:val="0"/>
              </w:rPr>
              <w:t xml:space="preserve"> </w:t>
            </w:r>
            <w:r w:rsidR="00982994">
              <w:rPr>
                <w:i/>
                <w:snapToGrid w:val="0"/>
              </w:rPr>
              <w:t>26</w:t>
            </w:r>
            <w:r>
              <w:rPr>
                <w:i/>
                <w:snapToGrid w:val="0"/>
              </w:rPr>
              <w:t>,-</w:t>
            </w:r>
          </w:p>
        </w:tc>
      </w:tr>
    </w:tbl>
    <w:p w:rsidR="00851E6B" w:rsidRPr="00BD23B4" w:rsidRDefault="00851E6B" w:rsidP="00851E6B"/>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4819"/>
        <w:gridCol w:w="3260"/>
      </w:tblGrid>
      <w:tr w:rsidR="00851E6B">
        <w:tc>
          <w:tcPr>
            <w:tcW w:w="993" w:type="dxa"/>
            <w:vAlign w:val="center"/>
          </w:tcPr>
          <w:p w:rsidR="00851E6B" w:rsidRDefault="00851E6B" w:rsidP="00145217">
            <w:pPr>
              <w:numPr>
                <w:ilvl w:val="0"/>
                <w:numId w:val="25"/>
              </w:numPr>
              <w:tabs>
                <w:tab w:val="center" w:pos="567"/>
              </w:tabs>
              <w:ind w:right="-30"/>
              <w:jc w:val="center"/>
            </w:pPr>
          </w:p>
        </w:tc>
        <w:tc>
          <w:tcPr>
            <w:tcW w:w="4819" w:type="dxa"/>
          </w:tcPr>
          <w:p w:rsidR="00851E6B" w:rsidRDefault="00851E6B" w:rsidP="0082158A">
            <w:pPr>
              <w:ind w:left="57" w:right="57"/>
              <w:jc w:val="both"/>
              <w:rPr>
                <w:snapToGrid w:val="0"/>
              </w:rPr>
            </w:pPr>
            <w:r>
              <w:rPr>
                <w:snapToGrid w:val="0"/>
              </w:rPr>
              <w:t>Zjištění identifikace konkrétního ú</w:t>
            </w:r>
            <w:r w:rsidR="00AC0E81">
              <w:rPr>
                <w:snapToGrid w:val="0"/>
              </w:rPr>
              <w:t>častnického kovového</w:t>
            </w:r>
            <w:r>
              <w:rPr>
                <w:snapToGrid w:val="0"/>
              </w:rPr>
              <w:t xml:space="preserve"> vedení </w:t>
            </w:r>
          </w:p>
          <w:p w:rsidR="00851E6B" w:rsidRDefault="00851E6B" w:rsidP="0082158A">
            <w:pPr>
              <w:ind w:left="57" w:right="57"/>
              <w:jc w:val="both"/>
              <w:rPr>
                <w:sz w:val="18"/>
              </w:rPr>
            </w:pPr>
            <w:r>
              <w:rPr>
                <w:sz w:val="18"/>
              </w:rPr>
              <w:t>(</w:t>
            </w:r>
            <w:r w:rsidR="00D81FED">
              <w:rPr>
                <w:sz w:val="18"/>
              </w:rPr>
              <w:t xml:space="preserve">Paušální měsíční cena za využívání systému </w:t>
            </w:r>
            <w:r>
              <w:rPr>
                <w:sz w:val="18"/>
              </w:rPr>
              <w:t>MDF QUERY on Line)</w:t>
            </w:r>
          </w:p>
        </w:tc>
        <w:tc>
          <w:tcPr>
            <w:tcW w:w="3260" w:type="dxa"/>
            <w:vAlign w:val="center"/>
          </w:tcPr>
          <w:p w:rsidR="00851E6B" w:rsidRPr="0082158A" w:rsidRDefault="007128E3" w:rsidP="00FB2484">
            <w:pPr>
              <w:jc w:val="center"/>
              <w:rPr>
                <w:i/>
              </w:rPr>
            </w:pPr>
            <w:r>
              <w:rPr>
                <w:i/>
                <w:snapToGrid w:val="0"/>
              </w:rPr>
              <w:t xml:space="preserve"> 1</w:t>
            </w:r>
            <w:r w:rsidR="00FB2484">
              <w:rPr>
                <w:i/>
                <w:snapToGrid w:val="0"/>
              </w:rPr>
              <w:t>0</w:t>
            </w:r>
            <w:r>
              <w:rPr>
                <w:i/>
                <w:snapToGrid w:val="0"/>
              </w:rPr>
              <w:t>,-</w:t>
            </w:r>
          </w:p>
        </w:tc>
      </w:tr>
    </w:tbl>
    <w:p w:rsidR="00851E6B" w:rsidRDefault="0098664A" w:rsidP="00A27C6F">
      <w:pPr>
        <w:spacing w:before="240" w:after="120"/>
        <w:ind w:firstLine="709"/>
      </w:pPr>
      <w:r>
        <w:t>c)</w:t>
      </w:r>
      <w:r w:rsidR="00DE4DAA">
        <w:t xml:space="preserve"> </w:t>
      </w:r>
      <w:r w:rsidR="00851E6B">
        <w:t xml:space="preserve">ceny za poskytnutí služeb kolokace </w:t>
      </w:r>
      <w:r w:rsidR="00DF6C5C">
        <w:t xml:space="preserve">uplatňované </w:t>
      </w:r>
      <w:r w:rsidR="00851E6B">
        <w:t>jednorázově:</w:t>
      </w: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93"/>
        <w:gridCol w:w="4819"/>
        <w:gridCol w:w="3402"/>
      </w:tblGrid>
      <w:tr w:rsidR="00851E6B" w:rsidTr="008A0C24">
        <w:trPr>
          <w:trHeight w:hRule="exact" w:val="879"/>
        </w:trPr>
        <w:tc>
          <w:tcPr>
            <w:tcW w:w="993" w:type="dxa"/>
            <w:tcBorders>
              <w:top w:val="single" w:sz="4" w:space="0" w:color="auto"/>
              <w:left w:val="single" w:sz="4" w:space="0" w:color="auto"/>
            </w:tcBorders>
          </w:tcPr>
          <w:p w:rsidR="00851E6B" w:rsidRDefault="00851E6B" w:rsidP="0082158A">
            <w:pPr>
              <w:ind w:left="57" w:right="57"/>
              <w:jc w:val="center"/>
            </w:pPr>
          </w:p>
        </w:tc>
        <w:tc>
          <w:tcPr>
            <w:tcW w:w="4819" w:type="dxa"/>
            <w:tcBorders>
              <w:top w:val="single" w:sz="4" w:space="0" w:color="auto"/>
              <w:left w:val="nil"/>
            </w:tcBorders>
            <w:vAlign w:val="center"/>
          </w:tcPr>
          <w:p w:rsidR="00851E6B" w:rsidRDefault="00851E6B" w:rsidP="0082158A">
            <w:pPr>
              <w:ind w:left="57" w:right="57"/>
              <w:jc w:val="both"/>
            </w:pPr>
            <w:r>
              <w:rPr>
                <w:snapToGrid w:val="0"/>
              </w:rPr>
              <w:t>Název služby</w:t>
            </w:r>
          </w:p>
        </w:tc>
        <w:tc>
          <w:tcPr>
            <w:tcW w:w="3402" w:type="dxa"/>
            <w:vAlign w:val="center"/>
          </w:tcPr>
          <w:p w:rsidR="00851E6B" w:rsidRDefault="00851E6B" w:rsidP="0082158A">
            <w:pPr>
              <w:ind w:left="57" w:right="57"/>
              <w:jc w:val="center"/>
              <w:rPr>
                <w:snapToGrid w:val="0"/>
              </w:rPr>
            </w:pPr>
            <w:r>
              <w:rPr>
                <w:snapToGrid w:val="0"/>
              </w:rPr>
              <w:t>Maximální cena v Kč bez daně z přidané hodnoty</w:t>
            </w:r>
          </w:p>
        </w:tc>
      </w:tr>
      <w:tr w:rsidR="00D90D55" w:rsidRPr="00FA71E4" w:rsidTr="008A0C24">
        <w:trPr>
          <w:trHeight w:val="142"/>
        </w:trPr>
        <w:tc>
          <w:tcPr>
            <w:tcW w:w="993" w:type="dxa"/>
            <w:vAlign w:val="center"/>
          </w:tcPr>
          <w:p w:rsidR="00D90D55" w:rsidRPr="00FA71E4" w:rsidRDefault="00D90D55" w:rsidP="00215EFD">
            <w:pPr>
              <w:numPr>
                <w:ilvl w:val="0"/>
                <w:numId w:val="29"/>
              </w:numPr>
              <w:tabs>
                <w:tab w:val="center" w:pos="567"/>
              </w:tabs>
              <w:ind w:right="-30"/>
              <w:jc w:val="center"/>
            </w:pPr>
          </w:p>
        </w:tc>
        <w:tc>
          <w:tcPr>
            <w:tcW w:w="4819" w:type="dxa"/>
          </w:tcPr>
          <w:p w:rsidR="00D90D55" w:rsidRPr="00FA71E4" w:rsidRDefault="00D90D55" w:rsidP="0082158A">
            <w:pPr>
              <w:ind w:left="57" w:right="57"/>
              <w:jc w:val="both"/>
              <w:rPr>
                <w:snapToGrid w:val="0"/>
              </w:rPr>
            </w:pPr>
            <w:r w:rsidRPr="00FA71E4">
              <w:rPr>
                <w:snapToGrid w:val="0"/>
              </w:rPr>
              <w:t>Předběžné místní šetření</w:t>
            </w:r>
          </w:p>
          <w:p w:rsidR="00D90D55" w:rsidRPr="00FA71E4" w:rsidRDefault="00EF68A4" w:rsidP="0082158A">
            <w:pPr>
              <w:ind w:left="57" w:right="57"/>
              <w:jc w:val="both"/>
              <w:rPr>
                <w:snapToGrid w:val="0"/>
              </w:rPr>
            </w:pPr>
            <w:r w:rsidRPr="00FA71E4">
              <w:rPr>
                <w:snapToGrid w:val="0"/>
              </w:rPr>
              <w:t>–</w:t>
            </w:r>
            <w:r w:rsidR="00D90D55" w:rsidRPr="00FA71E4">
              <w:rPr>
                <w:snapToGrid w:val="0"/>
              </w:rPr>
              <w:t xml:space="preserve"> 1 zpráva předběžného místního šetření</w:t>
            </w:r>
          </w:p>
        </w:tc>
        <w:tc>
          <w:tcPr>
            <w:tcW w:w="3402" w:type="dxa"/>
            <w:vAlign w:val="center"/>
          </w:tcPr>
          <w:p w:rsidR="00D90D55" w:rsidRPr="00FA71E4" w:rsidRDefault="007128E3" w:rsidP="00B75BC3">
            <w:pPr>
              <w:jc w:val="center"/>
              <w:rPr>
                <w:i/>
                <w:snapToGrid w:val="0"/>
              </w:rPr>
            </w:pPr>
            <w:r>
              <w:rPr>
                <w:i/>
                <w:snapToGrid w:val="0"/>
              </w:rPr>
              <w:t xml:space="preserve"> 1 9</w:t>
            </w:r>
            <w:r w:rsidR="00B75BC3">
              <w:rPr>
                <w:i/>
                <w:snapToGrid w:val="0"/>
              </w:rPr>
              <w:t>71</w:t>
            </w:r>
            <w:r>
              <w:rPr>
                <w:i/>
                <w:snapToGrid w:val="0"/>
              </w:rPr>
              <w:t>,-</w:t>
            </w:r>
          </w:p>
        </w:tc>
      </w:tr>
      <w:tr w:rsidR="00E92559" w:rsidRPr="00FA71E4" w:rsidTr="008A0C24">
        <w:trPr>
          <w:trHeight w:val="142"/>
        </w:trPr>
        <w:tc>
          <w:tcPr>
            <w:tcW w:w="993" w:type="dxa"/>
            <w:vAlign w:val="center"/>
          </w:tcPr>
          <w:p w:rsidR="00E92559" w:rsidRPr="00FA71E4" w:rsidRDefault="00E92559" w:rsidP="00215EFD">
            <w:pPr>
              <w:numPr>
                <w:ilvl w:val="0"/>
                <w:numId w:val="29"/>
              </w:numPr>
              <w:tabs>
                <w:tab w:val="center" w:pos="567"/>
              </w:tabs>
              <w:ind w:right="-30"/>
              <w:jc w:val="center"/>
            </w:pPr>
            <w:r w:rsidRPr="00FA71E4">
              <w:t>a</w:t>
            </w:r>
          </w:p>
        </w:tc>
        <w:tc>
          <w:tcPr>
            <w:tcW w:w="4819" w:type="dxa"/>
          </w:tcPr>
          <w:p w:rsidR="00E92559" w:rsidRPr="00FA71E4" w:rsidRDefault="00E92559" w:rsidP="0082158A">
            <w:pPr>
              <w:ind w:left="57" w:right="57"/>
              <w:jc w:val="both"/>
              <w:rPr>
                <w:snapToGrid w:val="0"/>
              </w:rPr>
            </w:pPr>
            <w:r w:rsidRPr="00FA71E4">
              <w:rPr>
                <w:snapToGrid w:val="0"/>
              </w:rPr>
              <w:t>Podrobné místní šetření</w:t>
            </w:r>
          </w:p>
          <w:p w:rsidR="00E92559" w:rsidRPr="00FA71E4" w:rsidRDefault="00E92559" w:rsidP="00E51550">
            <w:pPr>
              <w:ind w:left="57" w:right="57"/>
              <w:jc w:val="both"/>
              <w:rPr>
                <w:snapToGrid w:val="0"/>
              </w:rPr>
            </w:pPr>
            <w:r w:rsidRPr="00FA71E4">
              <w:rPr>
                <w:snapToGrid w:val="0"/>
              </w:rPr>
              <w:t>– 1 zpráva podrobného místního</w:t>
            </w:r>
            <w:r w:rsidR="00E50799">
              <w:rPr>
                <w:snapToGrid w:val="0"/>
              </w:rPr>
              <w:t xml:space="preserve"> šetření pro kolokační místnost</w:t>
            </w:r>
            <w:r>
              <w:rPr>
                <w:snapToGrid w:val="0"/>
              </w:rPr>
              <w:t xml:space="preserve"> </w:t>
            </w:r>
          </w:p>
        </w:tc>
        <w:tc>
          <w:tcPr>
            <w:tcW w:w="3402" w:type="dxa"/>
            <w:vAlign w:val="center"/>
          </w:tcPr>
          <w:p w:rsidR="00E92559" w:rsidRPr="008514D9" w:rsidRDefault="007128E3" w:rsidP="00B75BC3">
            <w:pPr>
              <w:jc w:val="center"/>
              <w:rPr>
                <w:i/>
                <w:snapToGrid w:val="0"/>
              </w:rPr>
            </w:pPr>
            <w:r>
              <w:rPr>
                <w:i/>
                <w:snapToGrid w:val="0"/>
              </w:rPr>
              <w:t xml:space="preserve"> 12 </w:t>
            </w:r>
            <w:r w:rsidR="00B75BC3">
              <w:rPr>
                <w:i/>
                <w:snapToGrid w:val="0"/>
              </w:rPr>
              <w:t>499</w:t>
            </w:r>
            <w:r>
              <w:rPr>
                <w:i/>
                <w:snapToGrid w:val="0"/>
              </w:rPr>
              <w:t>,-</w:t>
            </w:r>
          </w:p>
        </w:tc>
      </w:tr>
      <w:tr w:rsidR="00E92559" w:rsidRPr="00FA71E4" w:rsidTr="008A0C24">
        <w:trPr>
          <w:trHeight w:val="142"/>
        </w:trPr>
        <w:tc>
          <w:tcPr>
            <w:tcW w:w="993" w:type="dxa"/>
            <w:vAlign w:val="center"/>
          </w:tcPr>
          <w:p w:rsidR="00E92559" w:rsidRPr="00FA71E4" w:rsidRDefault="00E92559" w:rsidP="004745E6">
            <w:pPr>
              <w:tabs>
                <w:tab w:val="center" w:pos="567"/>
              </w:tabs>
              <w:ind w:right="-30"/>
            </w:pPr>
            <w:r w:rsidRPr="00FA71E4">
              <w:t xml:space="preserve">     3.2  b</w:t>
            </w:r>
          </w:p>
        </w:tc>
        <w:tc>
          <w:tcPr>
            <w:tcW w:w="4819" w:type="dxa"/>
          </w:tcPr>
          <w:p w:rsidR="00E92559" w:rsidRPr="00FA71E4" w:rsidRDefault="00E92559" w:rsidP="00C21726">
            <w:pPr>
              <w:ind w:left="57" w:right="57"/>
              <w:jc w:val="both"/>
              <w:rPr>
                <w:snapToGrid w:val="0"/>
              </w:rPr>
            </w:pPr>
            <w:r w:rsidRPr="00FA71E4">
              <w:rPr>
                <w:snapToGrid w:val="0"/>
              </w:rPr>
              <w:t>Podrobné místní šetření</w:t>
            </w:r>
          </w:p>
          <w:p w:rsidR="00E92559" w:rsidRPr="00FA71E4" w:rsidRDefault="00E92559" w:rsidP="00C21726">
            <w:pPr>
              <w:ind w:left="57" w:right="57"/>
              <w:jc w:val="both"/>
              <w:rPr>
                <w:snapToGrid w:val="0"/>
              </w:rPr>
            </w:pPr>
            <w:r w:rsidRPr="00FA71E4">
              <w:rPr>
                <w:snapToGrid w:val="0"/>
              </w:rPr>
              <w:t>– další zpráva podrobného místního šetření pro kolokační místnost</w:t>
            </w:r>
          </w:p>
        </w:tc>
        <w:tc>
          <w:tcPr>
            <w:tcW w:w="3402" w:type="dxa"/>
            <w:vAlign w:val="center"/>
          </w:tcPr>
          <w:p w:rsidR="00E92559" w:rsidRPr="008514D9" w:rsidRDefault="007128E3" w:rsidP="00B75BC3">
            <w:pPr>
              <w:jc w:val="center"/>
              <w:rPr>
                <w:i/>
                <w:snapToGrid w:val="0"/>
              </w:rPr>
            </w:pPr>
            <w:r>
              <w:rPr>
                <w:i/>
                <w:snapToGrid w:val="0"/>
              </w:rPr>
              <w:t xml:space="preserve"> 8 </w:t>
            </w:r>
            <w:r w:rsidR="00B75BC3">
              <w:rPr>
                <w:i/>
                <w:snapToGrid w:val="0"/>
              </w:rPr>
              <w:t>512</w:t>
            </w:r>
            <w:r>
              <w:rPr>
                <w:i/>
                <w:snapToGrid w:val="0"/>
              </w:rPr>
              <w:t>,-</w:t>
            </w:r>
          </w:p>
        </w:tc>
      </w:tr>
      <w:tr w:rsidR="00E92559" w:rsidTr="008A0C24">
        <w:trPr>
          <w:trHeight w:val="142"/>
        </w:trPr>
        <w:tc>
          <w:tcPr>
            <w:tcW w:w="993" w:type="dxa"/>
            <w:vAlign w:val="center"/>
          </w:tcPr>
          <w:p w:rsidR="00E92559" w:rsidRDefault="00E92559" w:rsidP="00215EFD">
            <w:pPr>
              <w:numPr>
                <w:ilvl w:val="0"/>
                <w:numId w:val="29"/>
              </w:numPr>
              <w:tabs>
                <w:tab w:val="center" w:pos="567"/>
              </w:tabs>
              <w:ind w:right="-30"/>
              <w:jc w:val="center"/>
            </w:pPr>
          </w:p>
        </w:tc>
        <w:tc>
          <w:tcPr>
            <w:tcW w:w="4819" w:type="dxa"/>
          </w:tcPr>
          <w:p w:rsidR="00E92559" w:rsidRDefault="00E92559" w:rsidP="0082158A">
            <w:pPr>
              <w:ind w:left="57" w:right="57"/>
              <w:jc w:val="both"/>
              <w:rPr>
                <w:snapToGrid w:val="0"/>
              </w:rPr>
            </w:pPr>
            <w:r>
              <w:rPr>
                <w:snapToGrid w:val="0"/>
              </w:rPr>
              <w:t xml:space="preserve">Poskytnutí kolokačního prostoru </w:t>
            </w:r>
          </w:p>
          <w:p w:rsidR="00E92559" w:rsidRDefault="00E92559" w:rsidP="0082158A">
            <w:pPr>
              <w:ind w:left="57" w:right="57"/>
              <w:jc w:val="both"/>
              <w:rPr>
                <w:snapToGrid w:val="0"/>
              </w:rPr>
            </w:pPr>
            <w:r>
              <w:rPr>
                <w:snapToGrid w:val="0"/>
              </w:rPr>
              <w:t>– skříň</w:t>
            </w:r>
          </w:p>
        </w:tc>
        <w:tc>
          <w:tcPr>
            <w:tcW w:w="3402" w:type="dxa"/>
            <w:vAlign w:val="center"/>
          </w:tcPr>
          <w:p w:rsidR="00E92559" w:rsidRPr="008514D9" w:rsidRDefault="007128E3" w:rsidP="00B75BC3">
            <w:pPr>
              <w:jc w:val="center"/>
              <w:rPr>
                <w:i/>
                <w:snapToGrid w:val="0"/>
              </w:rPr>
            </w:pPr>
            <w:r>
              <w:rPr>
                <w:i/>
                <w:snapToGrid w:val="0"/>
              </w:rPr>
              <w:t xml:space="preserve"> 35 </w:t>
            </w:r>
            <w:r w:rsidR="00B75BC3">
              <w:rPr>
                <w:i/>
                <w:snapToGrid w:val="0"/>
              </w:rPr>
              <w:t>067</w:t>
            </w:r>
            <w:r>
              <w:rPr>
                <w:i/>
                <w:snapToGrid w:val="0"/>
              </w:rPr>
              <w:t>,-</w:t>
            </w:r>
          </w:p>
        </w:tc>
      </w:tr>
      <w:tr w:rsidR="00E92559" w:rsidTr="008A0C24">
        <w:trPr>
          <w:trHeight w:val="142"/>
        </w:trPr>
        <w:tc>
          <w:tcPr>
            <w:tcW w:w="993" w:type="dxa"/>
            <w:vAlign w:val="center"/>
          </w:tcPr>
          <w:p w:rsidR="00E92559" w:rsidRDefault="00E92559" w:rsidP="00215EFD">
            <w:pPr>
              <w:numPr>
                <w:ilvl w:val="0"/>
                <w:numId w:val="29"/>
              </w:numPr>
              <w:tabs>
                <w:tab w:val="center" w:pos="567"/>
              </w:tabs>
              <w:ind w:right="-30"/>
              <w:jc w:val="center"/>
            </w:pPr>
          </w:p>
        </w:tc>
        <w:tc>
          <w:tcPr>
            <w:tcW w:w="4819" w:type="dxa"/>
          </w:tcPr>
          <w:p w:rsidR="00E92559" w:rsidRDefault="00806973" w:rsidP="0082158A">
            <w:pPr>
              <w:ind w:left="57" w:right="57"/>
              <w:jc w:val="both"/>
              <w:rPr>
                <w:snapToGrid w:val="0"/>
              </w:rPr>
            </w:pPr>
            <w:r w:rsidRPr="00671956">
              <w:rPr>
                <w:snapToGrid w:val="0"/>
              </w:rPr>
              <w:t>Poskytnutí nebo rozšíření technologického napájení 48V nebo 230V (nezálohované)</w:t>
            </w:r>
          </w:p>
        </w:tc>
        <w:tc>
          <w:tcPr>
            <w:tcW w:w="3402" w:type="dxa"/>
            <w:vAlign w:val="center"/>
          </w:tcPr>
          <w:p w:rsidR="00E92559" w:rsidRPr="008514D9" w:rsidRDefault="007128E3" w:rsidP="00B75BC3">
            <w:pPr>
              <w:jc w:val="center"/>
              <w:rPr>
                <w:i/>
                <w:snapToGrid w:val="0"/>
              </w:rPr>
            </w:pPr>
            <w:r>
              <w:rPr>
                <w:i/>
                <w:snapToGrid w:val="0"/>
              </w:rPr>
              <w:t xml:space="preserve"> 2 </w:t>
            </w:r>
            <w:r w:rsidR="00B75BC3">
              <w:rPr>
                <w:i/>
                <w:snapToGrid w:val="0"/>
              </w:rPr>
              <w:t>919</w:t>
            </w:r>
            <w:r>
              <w:rPr>
                <w:i/>
                <w:snapToGrid w:val="0"/>
              </w:rPr>
              <w:t>,-</w:t>
            </w:r>
          </w:p>
        </w:tc>
      </w:tr>
      <w:tr w:rsidR="00E92559" w:rsidTr="008A0C24">
        <w:trPr>
          <w:trHeight w:val="142"/>
        </w:trPr>
        <w:tc>
          <w:tcPr>
            <w:tcW w:w="993" w:type="dxa"/>
            <w:vAlign w:val="center"/>
          </w:tcPr>
          <w:p w:rsidR="00E92559" w:rsidRDefault="00E92559" w:rsidP="00215EFD">
            <w:pPr>
              <w:numPr>
                <w:ilvl w:val="0"/>
                <w:numId w:val="29"/>
              </w:numPr>
              <w:tabs>
                <w:tab w:val="center" w:pos="567"/>
              </w:tabs>
              <w:ind w:right="-30"/>
              <w:jc w:val="center"/>
            </w:pPr>
          </w:p>
        </w:tc>
        <w:tc>
          <w:tcPr>
            <w:tcW w:w="4819" w:type="dxa"/>
          </w:tcPr>
          <w:p w:rsidR="00E92559" w:rsidRDefault="00E92559" w:rsidP="0082158A">
            <w:pPr>
              <w:ind w:left="57" w:right="57"/>
              <w:jc w:val="both"/>
              <w:rPr>
                <w:snapToGrid w:val="0"/>
              </w:rPr>
            </w:pPr>
            <w:r>
              <w:rPr>
                <w:snapToGrid w:val="0"/>
              </w:rPr>
              <w:t>Stíněný vnitřní spojovací kabel a pásek na hlavním rozvodu přidělený Poskytovateli</w:t>
            </w:r>
          </w:p>
          <w:p w:rsidR="00E92559" w:rsidRDefault="00AC0E81" w:rsidP="0082158A">
            <w:pPr>
              <w:ind w:left="57" w:right="57"/>
              <w:jc w:val="both"/>
              <w:rPr>
                <w:snapToGrid w:val="0"/>
              </w:rPr>
            </w:pPr>
            <w:r>
              <w:rPr>
                <w:snapToGrid w:val="0"/>
              </w:rPr>
              <w:t>– spojovací</w:t>
            </w:r>
            <w:r w:rsidR="00E92559">
              <w:rPr>
                <w:snapToGrid w:val="0"/>
              </w:rPr>
              <w:t xml:space="preserve"> kabely v kapacitě 96 párů</w:t>
            </w:r>
            <w:r w:rsidR="00806973">
              <w:rPr>
                <w:snapToGrid w:val="0"/>
              </w:rPr>
              <w:t xml:space="preserve"> – </w:t>
            </w:r>
            <w:r w:rsidR="00806973" w:rsidRPr="00671956">
              <w:rPr>
                <w:snapToGrid w:val="0"/>
              </w:rPr>
              <w:t>poskytnutí nebo rozšíření</w:t>
            </w:r>
          </w:p>
        </w:tc>
        <w:tc>
          <w:tcPr>
            <w:tcW w:w="3402" w:type="dxa"/>
            <w:vAlign w:val="center"/>
          </w:tcPr>
          <w:p w:rsidR="00E92559" w:rsidRPr="008514D9" w:rsidRDefault="007128E3" w:rsidP="00B75BC3">
            <w:pPr>
              <w:jc w:val="center"/>
              <w:rPr>
                <w:i/>
                <w:snapToGrid w:val="0"/>
              </w:rPr>
            </w:pPr>
            <w:r>
              <w:rPr>
                <w:i/>
                <w:snapToGrid w:val="0"/>
              </w:rPr>
              <w:t xml:space="preserve"> 1 93</w:t>
            </w:r>
            <w:r w:rsidR="00B75BC3">
              <w:rPr>
                <w:i/>
                <w:snapToGrid w:val="0"/>
              </w:rPr>
              <w:t>0</w:t>
            </w:r>
            <w:r>
              <w:rPr>
                <w:i/>
                <w:snapToGrid w:val="0"/>
              </w:rPr>
              <w:t>,-</w:t>
            </w:r>
          </w:p>
        </w:tc>
      </w:tr>
      <w:tr w:rsidR="00E92559" w:rsidTr="008A0C24">
        <w:trPr>
          <w:trHeight w:val="142"/>
        </w:trPr>
        <w:tc>
          <w:tcPr>
            <w:tcW w:w="993" w:type="dxa"/>
            <w:vAlign w:val="center"/>
          </w:tcPr>
          <w:p w:rsidR="00E92559" w:rsidRDefault="00E92559" w:rsidP="00215EFD">
            <w:pPr>
              <w:numPr>
                <w:ilvl w:val="0"/>
                <w:numId w:val="29"/>
              </w:numPr>
              <w:tabs>
                <w:tab w:val="center" w:pos="567"/>
              </w:tabs>
              <w:ind w:right="-30"/>
              <w:jc w:val="center"/>
            </w:pPr>
          </w:p>
        </w:tc>
        <w:tc>
          <w:tcPr>
            <w:tcW w:w="4819" w:type="dxa"/>
          </w:tcPr>
          <w:p w:rsidR="00E92559" w:rsidRDefault="00E92559" w:rsidP="0082158A">
            <w:pPr>
              <w:ind w:left="57" w:right="57"/>
              <w:jc w:val="both"/>
              <w:rPr>
                <w:snapToGrid w:val="0"/>
              </w:rPr>
            </w:pPr>
            <w:r>
              <w:rPr>
                <w:snapToGrid w:val="0"/>
              </w:rPr>
              <w:t>Nestíněný vnitřní spojovací kabel a pásek na hlavním rozvodu přidělený Poskytovateli</w:t>
            </w:r>
          </w:p>
          <w:p w:rsidR="00E92559" w:rsidRDefault="00AC0E81" w:rsidP="0082158A">
            <w:pPr>
              <w:ind w:left="57" w:right="57"/>
              <w:jc w:val="both"/>
              <w:rPr>
                <w:snapToGrid w:val="0"/>
              </w:rPr>
            </w:pPr>
            <w:r>
              <w:rPr>
                <w:snapToGrid w:val="0"/>
              </w:rPr>
              <w:t xml:space="preserve">– spojovací </w:t>
            </w:r>
            <w:r w:rsidR="00E92559">
              <w:rPr>
                <w:snapToGrid w:val="0"/>
              </w:rPr>
              <w:t>kabely v kapacitě 96 párů</w:t>
            </w:r>
            <w:r w:rsidR="00806973">
              <w:rPr>
                <w:snapToGrid w:val="0"/>
              </w:rPr>
              <w:t xml:space="preserve"> – </w:t>
            </w:r>
            <w:r w:rsidR="00806973" w:rsidRPr="00671956">
              <w:rPr>
                <w:snapToGrid w:val="0"/>
              </w:rPr>
              <w:t>poskytnutí nebo rozšíření</w:t>
            </w:r>
          </w:p>
        </w:tc>
        <w:tc>
          <w:tcPr>
            <w:tcW w:w="3402" w:type="dxa"/>
            <w:vAlign w:val="center"/>
          </w:tcPr>
          <w:p w:rsidR="00E92559" w:rsidRPr="008514D9" w:rsidRDefault="007128E3" w:rsidP="00B75BC3">
            <w:pPr>
              <w:jc w:val="center"/>
              <w:rPr>
                <w:i/>
                <w:snapToGrid w:val="0"/>
              </w:rPr>
            </w:pPr>
            <w:r>
              <w:rPr>
                <w:i/>
                <w:snapToGrid w:val="0"/>
              </w:rPr>
              <w:t xml:space="preserve"> 1 93</w:t>
            </w:r>
            <w:r w:rsidR="00B75BC3">
              <w:rPr>
                <w:i/>
                <w:snapToGrid w:val="0"/>
              </w:rPr>
              <w:t>0</w:t>
            </w:r>
            <w:r>
              <w:rPr>
                <w:i/>
                <w:snapToGrid w:val="0"/>
              </w:rPr>
              <w:t>,-</w:t>
            </w:r>
          </w:p>
        </w:tc>
      </w:tr>
      <w:tr w:rsidR="00E92559" w:rsidTr="008A0C24">
        <w:trPr>
          <w:trHeight w:val="142"/>
        </w:trPr>
        <w:tc>
          <w:tcPr>
            <w:tcW w:w="993" w:type="dxa"/>
            <w:vAlign w:val="center"/>
          </w:tcPr>
          <w:p w:rsidR="00E92559" w:rsidRDefault="00E92559" w:rsidP="00215EFD">
            <w:pPr>
              <w:numPr>
                <w:ilvl w:val="0"/>
                <w:numId w:val="29"/>
              </w:numPr>
              <w:tabs>
                <w:tab w:val="center" w:pos="567"/>
              </w:tabs>
              <w:ind w:right="-30"/>
              <w:jc w:val="center"/>
            </w:pPr>
          </w:p>
        </w:tc>
        <w:tc>
          <w:tcPr>
            <w:tcW w:w="4819" w:type="dxa"/>
          </w:tcPr>
          <w:p w:rsidR="00E92559" w:rsidRDefault="00E92559" w:rsidP="00E30FDB">
            <w:pPr>
              <w:ind w:left="57" w:right="57"/>
              <w:jc w:val="both"/>
              <w:rPr>
                <w:snapToGrid w:val="0"/>
              </w:rPr>
            </w:pPr>
            <w:r>
              <w:rPr>
                <w:snapToGrid w:val="0"/>
              </w:rPr>
              <w:t>Stíněný vnitřní spojovací kabel, metalický 2Mbit/s, včetně digitálního rozvaděče</w:t>
            </w:r>
            <w:r w:rsidR="00E30FDB">
              <w:rPr>
                <w:snapToGrid w:val="0"/>
              </w:rPr>
              <w:t xml:space="preserve"> </w:t>
            </w:r>
            <w:r w:rsidR="00806973">
              <w:rPr>
                <w:snapToGrid w:val="0"/>
              </w:rPr>
              <w:t>– pár – poskytnutí nebo rozšíření/Kabel sběrného okruhu metalický –</w:t>
            </w:r>
            <w:r w:rsidR="00E30FDB">
              <w:rPr>
                <w:snapToGrid w:val="0"/>
              </w:rPr>
              <w:t xml:space="preserve"> včetně pásku na předávacím rozvodu</w:t>
            </w:r>
            <w:r w:rsidR="00806973">
              <w:rPr>
                <w:snapToGrid w:val="0"/>
              </w:rPr>
              <w:t xml:space="preserve"> –</w:t>
            </w:r>
            <w:r w:rsidR="00E30FDB">
              <w:rPr>
                <w:snapToGrid w:val="0"/>
              </w:rPr>
              <w:t xml:space="preserve"> pár –</w:t>
            </w:r>
            <w:r w:rsidR="00806973">
              <w:rPr>
                <w:snapToGrid w:val="0"/>
              </w:rPr>
              <w:t xml:space="preserve"> poskytnutí nebo rozšíření</w:t>
            </w:r>
          </w:p>
        </w:tc>
        <w:tc>
          <w:tcPr>
            <w:tcW w:w="3402" w:type="dxa"/>
            <w:vAlign w:val="center"/>
          </w:tcPr>
          <w:p w:rsidR="00E92559" w:rsidRPr="008514D9" w:rsidRDefault="007128E3" w:rsidP="00B75BC3">
            <w:pPr>
              <w:jc w:val="center"/>
              <w:rPr>
                <w:i/>
                <w:snapToGrid w:val="0"/>
              </w:rPr>
            </w:pPr>
            <w:r>
              <w:rPr>
                <w:i/>
                <w:snapToGrid w:val="0"/>
              </w:rPr>
              <w:t xml:space="preserve"> </w:t>
            </w:r>
            <w:r w:rsidR="00B75BC3">
              <w:rPr>
                <w:i/>
                <w:snapToGrid w:val="0"/>
              </w:rPr>
              <w:t>4 938</w:t>
            </w:r>
            <w:r>
              <w:rPr>
                <w:i/>
                <w:snapToGrid w:val="0"/>
              </w:rPr>
              <w:t>,-</w:t>
            </w:r>
          </w:p>
        </w:tc>
      </w:tr>
      <w:tr w:rsidR="00E92559" w:rsidTr="008A0C24">
        <w:trPr>
          <w:trHeight w:val="142"/>
        </w:trPr>
        <w:tc>
          <w:tcPr>
            <w:tcW w:w="993" w:type="dxa"/>
            <w:vAlign w:val="center"/>
          </w:tcPr>
          <w:p w:rsidR="00E92559" w:rsidRDefault="00E92559" w:rsidP="00215EFD">
            <w:pPr>
              <w:numPr>
                <w:ilvl w:val="0"/>
                <w:numId w:val="29"/>
              </w:numPr>
              <w:tabs>
                <w:tab w:val="center" w:pos="567"/>
              </w:tabs>
              <w:ind w:right="-30"/>
              <w:jc w:val="center"/>
            </w:pPr>
          </w:p>
        </w:tc>
        <w:tc>
          <w:tcPr>
            <w:tcW w:w="4819" w:type="dxa"/>
          </w:tcPr>
          <w:p w:rsidR="00E92559" w:rsidRDefault="00E92559" w:rsidP="00E30FDB">
            <w:pPr>
              <w:ind w:left="57" w:right="57"/>
              <w:jc w:val="both"/>
              <w:rPr>
                <w:snapToGrid w:val="0"/>
              </w:rPr>
            </w:pPr>
            <w:r>
              <w:rPr>
                <w:snapToGrid w:val="0"/>
              </w:rPr>
              <w:t>Optický vnitřní spojovací kabel včetně optického rozvaděče</w:t>
            </w:r>
            <w:r w:rsidR="00E30FDB">
              <w:rPr>
                <w:snapToGrid w:val="0"/>
              </w:rPr>
              <w:t xml:space="preserve"> </w:t>
            </w:r>
            <w:r>
              <w:rPr>
                <w:snapToGrid w:val="0"/>
              </w:rPr>
              <w:t>– pár vláken</w:t>
            </w:r>
            <w:r w:rsidR="00E30FDB">
              <w:rPr>
                <w:snapToGrid w:val="0"/>
              </w:rPr>
              <w:t xml:space="preserve"> – poskytnutí nebo rozšíření/Kabel sběrného okruhu – optický, vče</w:t>
            </w:r>
            <w:r w:rsidR="00287DAB">
              <w:rPr>
                <w:snapToGrid w:val="0"/>
              </w:rPr>
              <w:t>tně optického rozvaděče – pár –</w:t>
            </w:r>
            <w:r w:rsidR="00E30FDB">
              <w:rPr>
                <w:snapToGrid w:val="0"/>
              </w:rPr>
              <w:t xml:space="preserve"> poskytnutí nebo rozšíření</w:t>
            </w:r>
          </w:p>
        </w:tc>
        <w:tc>
          <w:tcPr>
            <w:tcW w:w="3402" w:type="dxa"/>
            <w:vAlign w:val="center"/>
          </w:tcPr>
          <w:p w:rsidR="00E92559" w:rsidRPr="008514D9" w:rsidRDefault="007128E3" w:rsidP="00B75BC3">
            <w:pPr>
              <w:jc w:val="center"/>
              <w:rPr>
                <w:i/>
                <w:snapToGrid w:val="0"/>
              </w:rPr>
            </w:pPr>
            <w:r>
              <w:rPr>
                <w:i/>
                <w:snapToGrid w:val="0"/>
              </w:rPr>
              <w:t xml:space="preserve"> 5 </w:t>
            </w:r>
            <w:r w:rsidR="00B75BC3">
              <w:rPr>
                <w:i/>
                <w:snapToGrid w:val="0"/>
              </w:rPr>
              <w:t>034</w:t>
            </w:r>
            <w:r>
              <w:rPr>
                <w:i/>
                <w:snapToGrid w:val="0"/>
              </w:rPr>
              <w:t>,-</w:t>
            </w:r>
          </w:p>
        </w:tc>
      </w:tr>
      <w:tr w:rsidR="00E92559" w:rsidTr="008A0C24">
        <w:trPr>
          <w:trHeight w:val="142"/>
        </w:trPr>
        <w:tc>
          <w:tcPr>
            <w:tcW w:w="993" w:type="dxa"/>
            <w:vAlign w:val="center"/>
          </w:tcPr>
          <w:p w:rsidR="00E92559" w:rsidRDefault="00E92559" w:rsidP="00215EFD">
            <w:pPr>
              <w:numPr>
                <w:ilvl w:val="0"/>
                <w:numId w:val="29"/>
              </w:numPr>
              <w:tabs>
                <w:tab w:val="center" w:pos="567"/>
              </w:tabs>
              <w:ind w:right="-30"/>
              <w:jc w:val="center"/>
            </w:pPr>
          </w:p>
        </w:tc>
        <w:tc>
          <w:tcPr>
            <w:tcW w:w="4819" w:type="dxa"/>
          </w:tcPr>
          <w:p w:rsidR="00E92559" w:rsidRDefault="00E92559" w:rsidP="0082158A">
            <w:pPr>
              <w:ind w:left="57" w:right="57"/>
              <w:jc w:val="both"/>
              <w:rPr>
                <w:snapToGrid w:val="0"/>
              </w:rPr>
            </w:pPr>
            <w:r>
              <w:rPr>
                <w:snapToGrid w:val="0"/>
              </w:rPr>
              <w:t xml:space="preserve">Zdroj nepřetržitého napájení (UPS) </w:t>
            </w:r>
          </w:p>
          <w:p w:rsidR="00E92559" w:rsidRDefault="00E92559" w:rsidP="0082158A">
            <w:pPr>
              <w:ind w:left="57" w:right="57"/>
              <w:jc w:val="both"/>
              <w:rPr>
                <w:snapToGrid w:val="0"/>
              </w:rPr>
            </w:pPr>
            <w:r>
              <w:rPr>
                <w:snapToGrid w:val="0"/>
              </w:rPr>
              <w:t>– jednotka UPS</w:t>
            </w:r>
          </w:p>
        </w:tc>
        <w:tc>
          <w:tcPr>
            <w:tcW w:w="3402" w:type="dxa"/>
            <w:vAlign w:val="center"/>
          </w:tcPr>
          <w:p w:rsidR="00E92559" w:rsidRPr="008514D9" w:rsidRDefault="007128E3" w:rsidP="00B75BC3">
            <w:pPr>
              <w:jc w:val="center"/>
              <w:rPr>
                <w:i/>
                <w:snapToGrid w:val="0"/>
              </w:rPr>
            </w:pPr>
            <w:r>
              <w:rPr>
                <w:i/>
                <w:snapToGrid w:val="0"/>
              </w:rPr>
              <w:t xml:space="preserve"> </w:t>
            </w:r>
            <w:r w:rsidR="00B75BC3">
              <w:rPr>
                <w:i/>
                <w:snapToGrid w:val="0"/>
              </w:rPr>
              <w:t>4 054</w:t>
            </w:r>
            <w:r>
              <w:rPr>
                <w:i/>
                <w:snapToGrid w:val="0"/>
              </w:rPr>
              <w:t>,-</w:t>
            </w:r>
          </w:p>
        </w:tc>
      </w:tr>
      <w:tr w:rsidR="003F088A" w:rsidTr="008A0C24">
        <w:trPr>
          <w:trHeight w:val="142"/>
        </w:trPr>
        <w:tc>
          <w:tcPr>
            <w:tcW w:w="993" w:type="dxa"/>
            <w:vAlign w:val="center"/>
          </w:tcPr>
          <w:p w:rsidR="003F088A" w:rsidRDefault="003F088A" w:rsidP="00215EFD">
            <w:pPr>
              <w:numPr>
                <w:ilvl w:val="0"/>
                <w:numId w:val="29"/>
              </w:numPr>
              <w:tabs>
                <w:tab w:val="center" w:pos="567"/>
              </w:tabs>
              <w:ind w:right="-30"/>
              <w:jc w:val="center"/>
            </w:pPr>
          </w:p>
        </w:tc>
        <w:tc>
          <w:tcPr>
            <w:tcW w:w="4819" w:type="dxa"/>
          </w:tcPr>
          <w:p w:rsidR="003F088A" w:rsidRPr="00B61140" w:rsidRDefault="003F088A" w:rsidP="0082158A">
            <w:pPr>
              <w:ind w:left="57" w:right="57"/>
              <w:jc w:val="both"/>
              <w:rPr>
                <w:snapToGrid w:val="0"/>
              </w:rPr>
            </w:pPr>
            <w:r w:rsidRPr="003F088A">
              <w:rPr>
                <w:snapToGrid w:val="0"/>
              </w:rPr>
              <w:t>Vnější spojovací kabel – metalický – pro vnitřní nebo vnější prostředí, včetně pásku na hlavním rozvodu i pásku na předávacím rozvodu</w:t>
            </w:r>
          </w:p>
          <w:p w:rsidR="003F088A" w:rsidRPr="00B61140" w:rsidRDefault="003F088A" w:rsidP="0082158A">
            <w:pPr>
              <w:ind w:left="57" w:right="57"/>
              <w:jc w:val="both"/>
              <w:rPr>
                <w:snapToGrid w:val="0"/>
              </w:rPr>
            </w:pPr>
            <w:r w:rsidRPr="00E358FB">
              <w:rPr>
                <w:snapToGrid w:val="0"/>
              </w:rPr>
              <w:t>– spojovac</w:t>
            </w:r>
            <w:r w:rsidRPr="003F088A">
              <w:rPr>
                <w:snapToGrid w:val="0"/>
              </w:rPr>
              <w:t>í kabely v kapacitě 96 párů – poskytnutí nebo rozšíření</w:t>
            </w:r>
          </w:p>
        </w:tc>
        <w:tc>
          <w:tcPr>
            <w:tcW w:w="3402" w:type="dxa"/>
            <w:vAlign w:val="center"/>
          </w:tcPr>
          <w:p w:rsidR="003F088A" w:rsidDel="007128E3" w:rsidRDefault="003F088A" w:rsidP="00B75BC3">
            <w:pPr>
              <w:jc w:val="center"/>
              <w:rPr>
                <w:i/>
                <w:snapToGrid w:val="0"/>
              </w:rPr>
            </w:pPr>
            <w:r>
              <w:rPr>
                <w:i/>
                <w:snapToGrid w:val="0"/>
              </w:rPr>
              <w:t>2 3</w:t>
            </w:r>
            <w:r w:rsidR="00B75BC3">
              <w:rPr>
                <w:i/>
                <w:snapToGrid w:val="0"/>
              </w:rPr>
              <w:t>16</w:t>
            </w:r>
            <w:r>
              <w:rPr>
                <w:i/>
                <w:snapToGrid w:val="0"/>
              </w:rPr>
              <w:t>,-</w:t>
            </w:r>
          </w:p>
        </w:tc>
      </w:tr>
      <w:tr w:rsidR="003F088A" w:rsidTr="008A0C24">
        <w:trPr>
          <w:trHeight w:val="142"/>
        </w:trPr>
        <w:tc>
          <w:tcPr>
            <w:tcW w:w="993" w:type="dxa"/>
            <w:vAlign w:val="center"/>
          </w:tcPr>
          <w:p w:rsidR="003F088A" w:rsidRDefault="003F088A" w:rsidP="00215EFD">
            <w:pPr>
              <w:numPr>
                <w:ilvl w:val="0"/>
                <w:numId w:val="29"/>
              </w:numPr>
              <w:tabs>
                <w:tab w:val="center" w:pos="567"/>
              </w:tabs>
              <w:ind w:right="-30"/>
              <w:jc w:val="center"/>
            </w:pPr>
          </w:p>
        </w:tc>
        <w:tc>
          <w:tcPr>
            <w:tcW w:w="4819" w:type="dxa"/>
          </w:tcPr>
          <w:p w:rsidR="003F088A" w:rsidRPr="00F42D8A" w:rsidRDefault="003F088A" w:rsidP="0082158A">
            <w:pPr>
              <w:ind w:left="57" w:right="57"/>
              <w:jc w:val="both"/>
              <w:rPr>
                <w:snapToGrid w:val="0"/>
              </w:rPr>
            </w:pPr>
            <w:r w:rsidRPr="003F088A">
              <w:rPr>
                <w:snapToGrid w:val="0"/>
              </w:rPr>
              <w:t>Vnější spojovací kabel stíněný – metalický – pro vnitřní nebo vnější prostředí, včetně pásku na</w:t>
            </w:r>
            <w:r w:rsidRPr="00B61140">
              <w:rPr>
                <w:snapToGrid w:val="0"/>
              </w:rPr>
              <w:t xml:space="preserve"> hlavním rozvodu i pásku na předávacím rozvodu – spojovací kabely v kapacitě 96 párů – poskytnutí nebo rozšíř</w:t>
            </w:r>
            <w:r w:rsidRPr="00F42D8A">
              <w:rPr>
                <w:snapToGrid w:val="0"/>
              </w:rPr>
              <w:t>ení</w:t>
            </w:r>
          </w:p>
        </w:tc>
        <w:tc>
          <w:tcPr>
            <w:tcW w:w="3402" w:type="dxa"/>
            <w:vAlign w:val="center"/>
          </w:tcPr>
          <w:p w:rsidR="003F088A" w:rsidDel="007128E3" w:rsidRDefault="003F088A" w:rsidP="00B75BC3">
            <w:pPr>
              <w:jc w:val="center"/>
              <w:rPr>
                <w:i/>
                <w:snapToGrid w:val="0"/>
              </w:rPr>
            </w:pPr>
            <w:r>
              <w:rPr>
                <w:i/>
                <w:snapToGrid w:val="0"/>
              </w:rPr>
              <w:t>2 3</w:t>
            </w:r>
            <w:r w:rsidR="00B75BC3">
              <w:rPr>
                <w:i/>
                <w:snapToGrid w:val="0"/>
              </w:rPr>
              <w:t>16</w:t>
            </w:r>
            <w:r>
              <w:rPr>
                <w:i/>
                <w:snapToGrid w:val="0"/>
              </w:rPr>
              <w:t>,-</w:t>
            </w:r>
          </w:p>
        </w:tc>
      </w:tr>
      <w:tr w:rsidR="003F088A" w:rsidTr="008A0C24">
        <w:trPr>
          <w:trHeight w:val="142"/>
        </w:trPr>
        <w:tc>
          <w:tcPr>
            <w:tcW w:w="993" w:type="dxa"/>
            <w:vAlign w:val="center"/>
          </w:tcPr>
          <w:p w:rsidR="003F088A" w:rsidRDefault="003F088A" w:rsidP="00215EFD">
            <w:pPr>
              <w:numPr>
                <w:ilvl w:val="0"/>
                <w:numId w:val="29"/>
              </w:numPr>
              <w:tabs>
                <w:tab w:val="center" w:pos="567"/>
              </w:tabs>
              <w:ind w:right="-30"/>
              <w:jc w:val="center"/>
            </w:pPr>
          </w:p>
        </w:tc>
        <w:tc>
          <w:tcPr>
            <w:tcW w:w="4819" w:type="dxa"/>
          </w:tcPr>
          <w:p w:rsidR="003F088A" w:rsidRPr="003F088A" w:rsidRDefault="003F088A" w:rsidP="0082158A">
            <w:pPr>
              <w:ind w:left="57" w:right="57"/>
              <w:jc w:val="both"/>
              <w:rPr>
                <w:snapToGrid w:val="0"/>
              </w:rPr>
            </w:pPr>
            <w:r w:rsidRPr="003F088A">
              <w:rPr>
                <w:snapToGrid w:val="0"/>
              </w:rPr>
              <w:t xml:space="preserve">Výdej čipové karty a realizace požadavku na jeden přístup do kolokačního prostoru </w:t>
            </w:r>
          </w:p>
          <w:p w:rsidR="003F088A" w:rsidRPr="003F088A" w:rsidRDefault="003F088A" w:rsidP="0082158A">
            <w:pPr>
              <w:ind w:left="57" w:right="57"/>
              <w:jc w:val="both"/>
              <w:rPr>
                <w:snapToGrid w:val="0"/>
              </w:rPr>
            </w:pPr>
            <w:r w:rsidRPr="003F088A">
              <w:rPr>
                <w:snapToGrid w:val="0"/>
              </w:rPr>
              <w:t xml:space="preserve">– za jednoho zaměstnance Nájemce a kolokační </w:t>
            </w:r>
          </w:p>
        </w:tc>
        <w:tc>
          <w:tcPr>
            <w:tcW w:w="3402" w:type="dxa"/>
            <w:vAlign w:val="center"/>
          </w:tcPr>
          <w:p w:rsidR="003F088A" w:rsidRPr="0082158A" w:rsidRDefault="003F088A" w:rsidP="00B75BC3">
            <w:pPr>
              <w:jc w:val="center"/>
              <w:rPr>
                <w:i/>
                <w:snapToGrid w:val="0"/>
              </w:rPr>
            </w:pPr>
            <w:r>
              <w:rPr>
                <w:i/>
                <w:snapToGrid w:val="0"/>
              </w:rPr>
              <w:t>1 </w:t>
            </w:r>
            <w:r w:rsidR="00B75BC3">
              <w:rPr>
                <w:i/>
                <w:snapToGrid w:val="0"/>
              </w:rPr>
              <w:t>140</w:t>
            </w:r>
            <w:r>
              <w:rPr>
                <w:i/>
                <w:snapToGrid w:val="0"/>
              </w:rPr>
              <w:t>,-</w:t>
            </w:r>
          </w:p>
        </w:tc>
      </w:tr>
      <w:tr w:rsidR="003F088A" w:rsidTr="008A0C24">
        <w:trPr>
          <w:trHeight w:val="142"/>
        </w:trPr>
        <w:tc>
          <w:tcPr>
            <w:tcW w:w="993" w:type="dxa"/>
            <w:vAlign w:val="center"/>
          </w:tcPr>
          <w:p w:rsidR="003F088A" w:rsidRDefault="003F088A" w:rsidP="00215EFD">
            <w:pPr>
              <w:numPr>
                <w:ilvl w:val="0"/>
                <w:numId w:val="29"/>
              </w:numPr>
              <w:tabs>
                <w:tab w:val="center" w:pos="567"/>
              </w:tabs>
              <w:ind w:right="-30"/>
              <w:jc w:val="center"/>
            </w:pPr>
          </w:p>
        </w:tc>
        <w:tc>
          <w:tcPr>
            <w:tcW w:w="4819" w:type="dxa"/>
          </w:tcPr>
          <w:p w:rsidR="003F088A" w:rsidRPr="003F088A" w:rsidRDefault="003F088A" w:rsidP="0082158A">
            <w:pPr>
              <w:ind w:left="57" w:right="57"/>
              <w:jc w:val="both"/>
              <w:rPr>
                <w:snapToGrid w:val="0"/>
              </w:rPr>
            </w:pPr>
            <w:r w:rsidRPr="003F088A">
              <w:rPr>
                <w:snapToGrid w:val="0"/>
              </w:rPr>
              <w:t xml:space="preserve">Realizace požadavku na jeden další přístup do kolokačního prostoru </w:t>
            </w:r>
          </w:p>
          <w:p w:rsidR="003F088A" w:rsidRPr="00B61140" w:rsidRDefault="003F088A" w:rsidP="007E11F1">
            <w:pPr>
              <w:ind w:left="57" w:right="57"/>
              <w:jc w:val="both"/>
              <w:rPr>
                <w:snapToGrid w:val="0"/>
              </w:rPr>
            </w:pPr>
            <w:r w:rsidRPr="003F088A">
              <w:rPr>
                <w:snapToGrid w:val="0"/>
              </w:rPr>
              <w:t>– za jednoho zaměstnance Nájemce a kolokační místnost</w:t>
            </w:r>
          </w:p>
        </w:tc>
        <w:tc>
          <w:tcPr>
            <w:tcW w:w="3402" w:type="dxa"/>
            <w:vAlign w:val="center"/>
          </w:tcPr>
          <w:p w:rsidR="003F088A" w:rsidRPr="0082158A" w:rsidRDefault="00B75BC3" w:rsidP="00B75BC3">
            <w:pPr>
              <w:jc w:val="center"/>
              <w:rPr>
                <w:i/>
                <w:snapToGrid w:val="0"/>
              </w:rPr>
            </w:pPr>
            <w:r>
              <w:rPr>
                <w:i/>
                <w:snapToGrid w:val="0"/>
              </w:rPr>
              <w:t>684</w:t>
            </w:r>
            <w:r w:rsidR="003F088A">
              <w:rPr>
                <w:i/>
                <w:snapToGrid w:val="0"/>
              </w:rPr>
              <w:t>,-</w:t>
            </w:r>
          </w:p>
        </w:tc>
      </w:tr>
      <w:tr w:rsidR="003F088A" w:rsidTr="008A0C24">
        <w:trPr>
          <w:trHeight w:val="142"/>
        </w:trPr>
        <w:tc>
          <w:tcPr>
            <w:tcW w:w="993" w:type="dxa"/>
            <w:vAlign w:val="center"/>
          </w:tcPr>
          <w:p w:rsidR="003F088A" w:rsidRDefault="003F088A" w:rsidP="00215EFD">
            <w:pPr>
              <w:numPr>
                <w:ilvl w:val="0"/>
                <w:numId w:val="29"/>
              </w:numPr>
              <w:tabs>
                <w:tab w:val="center" w:pos="567"/>
              </w:tabs>
              <w:ind w:right="-30"/>
              <w:jc w:val="center"/>
            </w:pPr>
          </w:p>
        </w:tc>
        <w:tc>
          <w:tcPr>
            <w:tcW w:w="4819" w:type="dxa"/>
          </w:tcPr>
          <w:p w:rsidR="003F088A" w:rsidRPr="003F088A" w:rsidRDefault="003F088A" w:rsidP="0082158A">
            <w:pPr>
              <w:ind w:left="57" w:right="57"/>
              <w:jc w:val="both"/>
              <w:rPr>
                <w:snapToGrid w:val="0"/>
              </w:rPr>
            </w:pPr>
            <w:r w:rsidRPr="003F088A">
              <w:rPr>
                <w:snapToGrid w:val="0"/>
              </w:rPr>
              <w:t>Vstup s doprovodem – paušální poplatek</w:t>
            </w:r>
          </w:p>
          <w:p w:rsidR="003F088A" w:rsidRPr="003F088A" w:rsidRDefault="00882F8A" w:rsidP="0082158A">
            <w:pPr>
              <w:ind w:left="57" w:right="57"/>
              <w:jc w:val="both"/>
              <w:rPr>
                <w:snapToGrid w:val="0"/>
              </w:rPr>
            </w:pPr>
            <w:r w:rsidRPr="00882F8A">
              <w:rPr>
                <w:snapToGrid w:val="0"/>
              </w:rPr>
              <w:t>–</w:t>
            </w:r>
            <w:r w:rsidR="003F088A" w:rsidRPr="003F088A">
              <w:rPr>
                <w:snapToGrid w:val="0"/>
              </w:rPr>
              <w:t xml:space="preserve"> jedna návštěva libovolného počtu pracovníků Nájemce v jednom kolokačním prostoru</w:t>
            </w:r>
          </w:p>
        </w:tc>
        <w:tc>
          <w:tcPr>
            <w:tcW w:w="3402" w:type="dxa"/>
            <w:vAlign w:val="center"/>
          </w:tcPr>
          <w:p w:rsidR="003F088A" w:rsidRPr="0082158A" w:rsidRDefault="00B75BC3" w:rsidP="00B75BC3">
            <w:pPr>
              <w:jc w:val="center"/>
              <w:rPr>
                <w:i/>
                <w:snapToGrid w:val="0"/>
              </w:rPr>
            </w:pPr>
            <w:r>
              <w:rPr>
                <w:i/>
                <w:snapToGrid w:val="0"/>
              </w:rPr>
              <w:t>1 975</w:t>
            </w:r>
            <w:r w:rsidR="003F088A">
              <w:rPr>
                <w:i/>
                <w:snapToGrid w:val="0"/>
              </w:rPr>
              <w:t>,-</w:t>
            </w:r>
          </w:p>
        </w:tc>
      </w:tr>
      <w:tr w:rsidR="003F088A" w:rsidTr="008A0C24">
        <w:trPr>
          <w:trHeight w:val="142"/>
        </w:trPr>
        <w:tc>
          <w:tcPr>
            <w:tcW w:w="993" w:type="dxa"/>
            <w:vAlign w:val="center"/>
          </w:tcPr>
          <w:p w:rsidR="003F088A" w:rsidRDefault="003F088A" w:rsidP="00215EFD">
            <w:pPr>
              <w:numPr>
                <w:ilvl w:val="0"/>
                <w:numId w:val="29"/>
              </w:numPr>
              <w:tabs>
                <w:tab w:val="center" w:pos="567"/>
              </w:tabs>
              <w:ind w:right="-30"/>
              <w:jc w:val="center"/>
            </w:pPr>
          </w:p>
        </w:tc>
        <w:tc>
          <w:tcPr>
            <w:tcW w:w="4819" w:type="dxa"/>
          </w:tcPr>
          <w:p w:rsidR="003F088A" w:rsidRPr="003F088A" w:rsidRDefault="003F088A" w:rsidP="0082158A">
            <w:pPr>
              <w:ind w:left="57" w:right="57"/>
              <w:jc w:val="both"/>
              <w:rPr>
                <w:snapToGrid w:val="0"/>
              </w:rPr>
            </w:pPr>
            <w:r w:rsidRPr="003F088A">
              <w:rPr>
                <w:snapToGrid w:val="0"/>
              </w:rPr>
              <w:t xml:space="preserve">Vstup s doprovodem – využití </w:t>
            </w:r>
          </w:p>
          <w:p w:rsidR="003F088A" w:rsidRPr="003F088A" w:rsidRDefault="003F088A" w:rsidP="0082158A">
            <w:pPr>
              <w:ind w:left="57" w:right="57"/>
              <w:jc w:val="both"/>
              <w:rPr>
                <w:snapToGrid w:val="0"/>
              </w:rPr>
            </w:pPr>
            <w:r w:rsidRPr="003F088A">
              <w:rPr>
                <w:snapToGrid w:val="0"/>
              </w:rPr>
              <w:t>– jedna započatá hodina přístupu s doprovodem v jednom kolokačním prostoru</w:t>
            </w:r>
            <w:r w:rsidRPr="00B61140">
              <w:rPr>
                <w:snapToGrid w:val="0"/>
              </w:rPr>
              <w:t xml:space="preserve"> libovolného počtu pracovníků </w:t>
            </w:r>
            <w:r w:rsidRPr="003F088A">
              <w:rPr>
                <w:snapToGrid w:val="0"/>
              </w:rPr>
              <w:t>Nájemce</w:t>
            </w:r>
          </w:p>
        </w:tc>
        <w:tc>
          <w:tcPr>
            <w:tcW w:w="3402" w:type="dxa"/>
            <w:vAlign w:val="center"/>
          </w:tcPr>
          <w:p w:rsidR="003F088A" w:rsidRPr="0082158A" w:rsidRDefault="003F088A" w:rsidP="00B75BC3">
            <w:pPr>
              <w:jc w:val="center"/>
              <w:rPr>
                <w:i/>
                <w:snapToGrid w:val="0"/>
              </w:rPr>
            </w:pPr>
            <w:r>
              <w:rPr>
                <w:i/>
                <w:snapToGrid w:val="0"/>
              </w:rPr>
              <w:t>62</w:t>
            </w:r>
            <w:r w:rsidR="00B75BC3">
              <w:rPr>
                <w:i/>
                <w:snapToGrid w:val="0"/>
              </w:rPr>
              <w:t>2</w:t>
            </w:r>
            <w:r>
              <w:rPr>
                <w:i/>
                <w:snapToGrid w:val="0"/>
              </w:rPr>
              <w:t>,-</w:t>
            </w:r>
          </w:p>
        </w:tc>
      </w:tr>
      <w:tr w:rsidR="003F088A" w:rsidTr="008A0C24">
        <w:trPr>
          <w:trHeight w:val="271"/>
        </w:trPr>
        <w:tc>
          <w:tcPr>
            <w:tcW w:w="993" w:type="dxa"/>
            <w:vAlign w:val="center"/>
          </w:tcPr>
          <w:p w:rsidR="003F088A" w:rsidRDefault="003F088A" w:rsidP="00215EFD">
            <w:pPr>
              <w:numPr>
                <w:ilvl w:val="0"/>
                <w:numId w:val="29"/>
              </w:numPr>
              <w:tabs>
                <w:tab w:val="center" w:pos="567"/>
              </w:tabs>
              <w:ind w:right="-30"/>
              <w:jc w:val="center"/>
            </w:pPr>
          </w:p>
        </w:tc>
        <w:tc>
          <w:tcPr>
            <w:tcW w:w="4819" w:type="dxa"/>
          </w:tcPr>
          <w:p w:rsidR="003F088A" w:rsidRPr="003F088A" w:rsidRDefault="003F088A" w:rsidP="003F088A">
            <w:pPr>
              <w:ind w:left="57" w:right="57"/>
              <w:jc w:val="both"/>
              <w:rPr>
                <w:snapToGrid w:val="0"/>
              </w:rPr>
            </w:pPr>
            <w:r w:rsidRPr="003F088A">
              <w:rPr>
                <w:snapToGrid w:val="0"/>
              </w:rPr>
              <w:t>Deinstalace zařízení technologického napájení 48V nebo 230V (nezálohované)</w:t>
            </w:r>
          </w:p>
        </w:tc>
        <w:tc>
          <w:tcPr>
            <w:tcW w:w="3402" w:type="dxa"/>
            <w:vAlign w:val="center"/>
          </w:tcPr>
          <w:p w:rsidR="003F088A" w:rsidRPr="0082158A" w:rsidRDefault="003F088A" w:rsidP="00B75BC3">
            <w:pPr>
              <w:jc w:val="center"/>
              <w:rPr>
                <w:i/>
                <w:snapToGrid w:val="0"/>
              </w:rPr>
            </w:pPr>
            <w:r>
              <w:rPr>
                <w:i/>
                <w:snapToGrid w:val="0"/>
              </w:rPr>
              <w:t>1 9</w:t>
            </w:r>
            <w:r w:rsidR="00B75BC3">
              <w:rPr>
                <w:i/>
                <w:snapToGrid w:val="0"/>
              </w:rPr>
              <w:t>34</w:t>
            </w:r>
            <w:r>
              <w:rPr>
                <w:i/>
                <w:snapToGrid w:val="0"/>
              </w:rPr>
              <w:t>,-</w:t>
            </w:r>
          </w:p>
        </w:tc>
      </w:tr>
      <w:tr w:rsidR="003F088A" w:rsidTr="008A0C24">
        <w:trPr>
          <w:trHeight w:val="271"/>
        </w:trPr>
        <w:tc>
          <w:tcPr>
            <w:tcW w:w="993" w:type="dxa"/>
            <w:vAlign w:val="center"/>
          </w:tcPr>
          <w:p w:rsidR="003F088A" w:rsidRDefault="003F088A" w:rsidP="00215EFD">
            <w:pPr>
              <w:numPr>
                <w:ilvl w:val="0"/>
                <w:numId w:val="29"/>
              </w:numPr>
              <w:tabs>
                <w:tab w:val="center" w:pos="567"/>
              </w:tabs>
              <w:ind w:right="-30"/>
              <w:jc w:val="center"/>
            </w:pPr>
          </w:p>
        </w:tc>
        <w:tc>
          <w:tcPr>
            <w:tcW w:w="4819" w:type="dxa"/>
          </w:tcPr>
          <w:p w:rsidR="003F088A" w:rsidRPr="003F088A" w:rsidRDefault="003F088A" w:rsidP="003F088A">
            <w:pPr>
              <w:ind w:left="57" w:right="57"/>
              <w:jc w:val="both"/>
              <w:rPr>
                <w:snapToGrid w:val="0"/>
              </w:rPr>
            </w:pPr>
            <w:r w:rsidRPr="003F088A">
              <w:rPr>
                <w:snapToGrid w:val="0"/>
              </w:rPr>
              <w:t>Deinstalace nestíněného vnitřního spojovacího kabelu a pásku na HR přiděleného</w:t>
            </w:r>
            <w:r w:rsidR="00B61140">
              <w:rPr>
                <w:snapToGrid w:val="0"/>
              </w:rPr>
              <w:t xml:space="preserve"> Poskytovateli</w:t>
            </w:r>
            <w:r w:rsidRPr="003F088A">
              <w:rPr>
                <w:snapToGrid w:val="0"/>
              </w:rPr>
              <w:t xml:space="preserve"> </w:t>
            </w:r>
          </w:p>
        </w:tc>
        <w:tc>
          <w:tcPr>
            <w:tcW w:w="3402" w:type="dxa"/>
            <w:vAlign w:val="center"/>
          </w:tcPr>
          <w:p w:rsidR="003F088A" w:rsidRPr="0082158A" w:rsidRDefault="003F088A" w:rsidP="00B75BC3">
            <w:pPr>
              <w:jc w:val="center"/>
              <w:rPr>
                <w:i/>
                <w:snapToGrid w:val="0"/>
              </w:rPr>
            </w:pPr>
            <w:r>
              <w:rPr>
                <w:i/>
                <w:snapToGrid w:val="0"/>
              </w:rPr>
              <w:t>1 9</w:t>
            </w:r>
            <w:r w:rsidR="00B75BC3">
              <w:rPr>
                <w:i/>
                <w:snapToGrid w:val="0"/>
              </w:rPr>
              <w:t>34</w:t>
            </w:r>
            <w:r>
              <w:rPr>
                <w:i/>
                <w:snapToGrid w:val="0"/>
              </w:rPr>
              <w:t>,-</w:t>
            </w:r>
          </w:p>
        </w:tc>
      </w:tr>
      <w:tr w:rsidR="003F088A" w:rsidTr="008A0C24">
        <w:trPr>
          <w:trHeight w:val="142"/>
        </w:trPr>
        <w:tc>
          <w:tcPr>
            <w:tcW w:w="993" w:type="dxa"/>
            <w:vAlign w:val="center"/>
          </w:tcPr>
          <w:p w:rsidR="003F088A" w:rsidRDefault="003F088A" w:rsidP="00215EFD">
            <w:pPr>
              <w:numPr>
                <w:ilvl w:val="0"/>
                <w:numId w:val="29"/>
              </w:numPr>
              <w:tabs>
                <w:tab w:val="center" w:pos="567"/>
              </w:tabs>
              <w:ind w:right="-30"/>
              <w:jc w:val="center"/>
            </w:pPr>
          </w:p>
        </w:tc>
        <w:tc>
          <w:tcPr>
            <w:tcW w:w="4819" w:type="dxa"/>
          </w:tcPr>
          <w:p w:rsidR="003F088A" w:rsidRDefault="003F088A" w:rsidP="003F088A">
            <w:pPr>
              <w:ind w:left="57" w:right="57"/>
              <w:jc w:val="both"/>
              <w:rPr>
                <w:snapToGrid w:val="0"/>
              </w:rPr>
            </w:pPr>
            <w:r>
              <w:rPr>
                <w:snapToGrid w:val="0"/>
              </w:rPr>
              <w:t xml:space="preserve">Deinstalace stíněného vnitřního spojovacího kabelu a pásku na HR přiděleného </w:t>
            </w:r>
            <w:r w:rsidR="00B61140">
              <w:rPr>
                <w:snapToGrid w:val="0"/>
              </w:rPr>
              <w:t>Poskytovateli</w:t>
            </w:r>
          </w:p>
        </w:tc>
        <w:tc>
          <w:tcPr>
            <w:tcW w:w="3402" w:type="dxa"/>
            <w:vAlign w:val="center"/>
          </w:tcPr>
          <w:p w:rsidR="003F088A" w:rsidRPr="0082158A" w:rsidRDefault="003F088A" w:rsidP="00B75BC3">
            <w:pPr>
              <w:jc w:val="center"/>
              <w:rPr>
                <w:i/>
                <w:snapToGrid w:val="0"/>
              </w:rPr>
            </w:pPr>
            <w:r>
              <w:rPr>
                <w:i/>
                <w:snapToGrid w:val="0"/>
              </w:rPr>
              <w:t>1 9</w:t>
            </w:r>
            <w:r w:rsidR="00B75BC3">
              <w:rPr>
                <w:i/>
                <w:snapToGrid w:val="0"/>
              </w:rPr>
              <w:t>34</w:t>
            </w:r>
            <w:r>
              <w:rPr>
                <w:i/>
                <w:snapToGrid w:val="0"/>
              </w:rPr>
              <w:t>,-</w:t>
            </w:r>
          </w:p>
        </w:tc>
      </w:tr>
      <w:tr w:rsidR="003F088A" w:rsidTr="008A0C24">
        <w:trPr>
          <w:trHeight w:val="142"/>
        </w:trPr>
        <w:tc>
          <w:tcPr>
            <w:tcW w:w="993" w:type="dxa"/>
            <w:vAlign w:val="center"/>
          </w:tcPr>
          <w:p w:rsidR="003F088A" w:rsidRDefault="003F088A" w:rsidP="00215EFD">
            <w:pPr>
              <w:numPr>
                <w:ilvl w:val="0"/>
                <w:numId w:val="29"/>
              </w:numPr>
              <w:tabs>
                <w:tab w:val="center" w:pos="567"/>
              </w:tabs>
              <w:ind w:right="-30"/>
              <w:jc w:val="center"/>
            </w:pPr>
          </w:p>
        </w:tc>
        <w:tc>
          <w:tcPr>
            <w:tcW w:w="4819" w:type="dxa"/>
          </w:tcPr>
          <w:p w:rsidR="003F088A" w:rsidRDefault="003F088A" w:rsidP="00E358FB">
            <w:pPr>
              <w:ind w:left="57" w:right="57"/>
              <w:jc w:val="both"/>
              <w:rPr>
                <w:snapToGrid w:val="0"/>
              </w:rPr>
            </w:pPr>
            <w:r>
              <w:rPr>
                <w:snapToGrid w:val="0"/>
              </w:rPr>
              <w:t xml:space="preserve">Deinstalace stíněného vnitřního spojovacího kabelu, metalický 2 Mbit/s, včetně digitálního rozvaděče/Kabelu sběrného okruhu </w:t>
            </w:r>
            <w:r w:rsidR="00E358FB">
              <w:rPr>
                <w:snapToGrid w:val="0"/>
              </w:rPr>
              <w:t>–</w:t>
            </w:r>
            <w:r>
              <w:rPr>
                <w:snapToGrid w:val="0"/>
              </w:rPr>
              <w:t xml:space="preserve"> metalický</w:t>
            </w:r>
            <w:r w:rsidR="00E358FB">
              <w:rPr>
                <w:snapToGrid w:val="0"/>
              </w:rPr>
              <w:t xml:space="preserve"> </w:t>
            </w:r>
          </w:p>
        </w:tc>
        <w:tc>
          <w:tcPr>
            <w:tcW w:w="3402" w:type="dxa"/>
            <w:vAlign w:val="center"/>
          </w:tcPr>
          <w:p w:rsidR="003F088A" w:rsidRDefault="00B75BC3" w:rsidP="00B75BC3">
            <w:pPr>
              <w:jc w:val="center"/>
              <w:rPr>
                <w:i/>
                <w:snapToGrid w:val="0"/>
              </w:rPr>
            </w:pPr>
            <w:r>
              <w:rPr>
                <w:i/>
                <w:snapToGrid w:val="0"/>
              </w:rPr>
              <w:t>3 938</w:t>
            </w:r>
            <w:r w:rsidR="003F088A">
              <w:rPr>
                <w:i/>
                <w:snapToGrid w:val="0"/>
              </w:rPr>
              <w:t>,-</w:t>
            </w:r>
          </w:p>
        </w:tc>
      </w:tr>
      <w:tr w:rsidR="003F088A" w:rsidTr="008A0C24">
        <w:trPr>
          <w:trHeight w:val="142"/>
        </w:trPr>
        <w:tc>
          <w:tcPr>
            <w:tcW w:w="993" w:type="dxa"/>
            <w:vAlign w:val="center"/>
          </w:tcPr>
          <w:p w:rsidR="003F088A" w:rsidRDefault="003F088A" w:rsidP="00215EFD">
            <w:pPr>
              <w:numPr>
                <w:ilvl w:val="0"/>
                <w:numId w:val="29"/>
              </w:numPr>
              <w:tabs>
                <w:tab w:val="center" w:pos="567"/>
              </w:tabs>
              <w:ind w:right="-30"/>
              <w:jc w:val="center"/>
            </w:pPr>
          </w:p>
        </w:tc>
        <w:tc>
          <w:tcPr>
            <w:tcW w:w="4819" w:type="dxa"/>
          </w:tcPr>
          <w:p w:rsidR="003F088A" w:rsidRDefault="003F088A" w:rsidP="00E358FB">
            <w:pPr>
              <w:ind w:left="57" w:right="57"/>
              <w:jc w:val="both"/>
              <w:rPr>
                <w:snapToGrid w:val="0"/>
              </w:rPr>
            </w:pPr>
            <w:r>
              <w:rPr>
                <w:snapToGrid w:val="0"/>
              </w:rPr>
              <w:t xml:space="preserve">Deinstalace optického vnitřního spojovacího kabelu včetně optického rozvaděče/Kabelu sběrného okruhu </w:t>
            </w:r>
            <w:r w:rsidR="00E358FB">
              <w:rPr>
                <w:snapToGrid w:val="0"/>
              </w:rPr>
              <w:t>–</w:t>
            </w:r>
            <w:r>
              <w:rPr>
                <w:snapToGrid w:val="0"/>
              </w:rPr>
              <w:t xml:space="preserve"> optický</w:t>
            </w:r>
            <w:r w:rsidR="00E358FB">
              <w:rPr>
                <w:snapToGrid w:val="0"/>
              </w:rPr>
              <w:t xml:space="preserve"> </w:t>
            </w:r>
          </w:p>
        </w:tc>
        <w:tc>
          <w:tcPr>
            <w:tcW w:w="3402" w:type="dxa"/>
            <w:vAlign w:val="center"/>
          </w:tcPr>
          <w:p w:rsidR="003F088A" w:rsidRDefault="00B75BC3" w:rsidP="00B75BC3">
            <w:pPr>
              <w:jc w:val="center"/>
              <w:rPr>
                <w:i/>
                <w:snapToGrid w:val="0"/>
              </w:rPr>
            </w:pPr>
            <w:r>
              <w:rPr>
                <w:i/>
                <w:snapToGrid w:val="0"/>
              </w:rPr>
              <w:t>3 938</w:t>
            </w:r>
            <w:r w:rsidR="003F088A">
              <w:rPr>
                <w:i/>
                <w:snapToGrid w:val="0"/>
              </w:rPr>
              <w:t>,-</w:t>
            </w:r>
          </w:p>
        </w:tc>
      </w:tr>
      <w:tr w:rsidR="003F088A" w:rsidTr="008A0C24">
        <w:trPr>
          <w:trHeight w:val="142"/>
        </w:trPr>
        <w:tc>
          <w:tcPr>
            <w:tcW w:w="993" w:type="dxa"/>
            <w:vAlign w:val="center"/>
          </w:tcPr>
          <w:p w:rsidR="003F088A" w:rsidRDefault="003F088A" w:rsidP="00215EFD">
            <w:pPr>
              <w:numPr>
                <w:ilvl w:val="0"/>
                <w:numId w:val="29"/>
              </w:numPr>
              <w:tabs>
                <w:tab w:val="center" w:pos="567"/>
              </w:tabs>
              <w:ind w:right="-30"/>
              <w:jc w:val="center"/>
            </w:pPr>
          </w:p>
        </w:tc>
        <w:tc>
          <w:tcPr>
            <w:tcW w:w="4819" w:type="dxa"/>
          </w:tcPr>
          <w:p w:rsidR="003F088A" w:rsidRDefault="003F088A" w:rsidP="00E358FB">
            <w:pPr>
              <w:ind w:left="57" w:right="57"/>
              <w:jc w:val="both"/>
              <w:rPr>
                <w:snapToGrid w:val="0"/>
              </w:rPr>
            </w:pPr>
            <w:r>
              <w:rPr>
                <w:snapToGrid w:val="0"/>
              </w:rPr>
              <w:t>Deinstalace vnějšího spojovacího kabelu – metalický – pro vnitřní a vnější prostředí</w:t>
            </w:r>
            <w:r w:rsidR="00E358FB">
              <w:rPr>
                <w:snapToGrid w:val="0"/>
              </w:rPr>
              <w:t xml:space="preserve"> </w:t>
            </w:r>
          </w:p>
        </w:tc>
        <w:tc>
          <w:tcPr>
            <w:tcW w:w="3402" w:type="dxa"/>
            <w:vAlign w:val="center"/>
          </w:tcPr>
          <w:p w:rsidR="003F088A" w:rsidRDefault="003F088A" w:rsidP="00B75BC3">
            <w:pPr>
              <w:jc w:val="center"/>
              <w:rPr>
                <w:i/>
                <w:snapToGrid w:val="0"/>
              </w:rPr>
            </w:pPr>
            <w:r>
              <w:rPr>
                <w:i/>
                <w:snapToGrid w:val="0"/>
              </w:rPr>
              <w:t>1 9</w:t>
            </w:r>
            <w:r w:rsidR="00B75BC3">
              <w:rPr>
                <w:i/>
                <w:snapToGrid w:val="0"/>
              </w:rPr>
              <w:t>34</w:t>
            </w:r>
            <w:r>
              <w:rPr>
                <w:i/>
                <w:snapToGrid w:val="0"/>
              </w:rPr>
              <w:t>,-</w:t>
            </w:r>
          </w:p>
        </w:tc>
      </w:tr>
      <w:tr w:rsidR="003F088A" w:rsidTr="008A0C24">
        <w:trPr>
          <w:trHeight w:val="142"/>
        </w:trPr>
        <w:tc>
          <w:tcPr>
            <w:tcW w:w="993" w:type="dxa"/>
            <w:vAlign w:val="center"/>
          </w:tcPr>
          <w:p w:rsidR="003F088A" w:rsidRDefault="003F088A" w:rsidP="00215EFD">
            <w:pPr>
              <w:numPr>
                <w:ilvl w:val="0"/>
                <w:numId w:val="29"/>
              </w:numPr>
              <w:tabs>
                <w:tab w:val="center" w:pos="567"/>
              </w:tabs>
              <w:ind w:right="-30"/>
              <w:jc w:val="center"/>
            </w:pPr>
          </w:p>
        </w:tc>
        <w:tc>
          <w:tcPr>
            <w:tcW w:w="4819" w:type="dxa"/>
          </w:tcPr>
          <w:p w:rsidR="003F088A" w:rsidRDefault="003F088A" w:rsidP="0082158A">
            <w:pPr>
              <w:ind w:left="57" w:right="57"/>
              <w:jc w:val="both"/>
              <w:rPr>
                <w:snapToGrid w:val="0"/>
              </w:rPr>
            </w:pPr>
            <w:r>
              <w:rPr>
                <w:snapToGrid w:val="0"/>
              </w:rPr>
              <w:t>Deinstalace vnějšího spojovacího kabelu stíněného – metalický – pro vnitřní a vnější prostředí</w:t>
            </w:r>
          </w:p>
        </w:tc>
        <w:tc>
          <w:tcPr>
            <w:tcW w:w="3402" w:type="dxa"/>
            <w:vAlign w:val="center"/>
          </w:tcPr>
          <w:p w:rsidR="003F088A" w:rsidRDefault="003F088A" w:rsidP="00B75BC3">
            <w:pPr>
              <w:jc w:val="center"/>
              <w:rPr>
                <w:i/>
                <w:snapToGrid w:val="0"/>
              </w:rPr>
            </w:pPr>
            <w:r>
              <w:rPr>
                <w:i/>
                <w:snapToGrid w:val="0"/>
              </w:rPr>
              <w:t>1 9</w:t>
            </w:r>
            <w:r w:rsidR="00B75BC3">
              <w:rPr>
                <w:i/>
                <w:snapToGrid w:val="0"/>
              </w:rPr>
              <w:t>34</w:t>
            </w:r>
            <w:r>
              <w:rPr>
                <w:i/>
                <w:snapToGrid w:val="0"/>
              </w:rPr>
              <w:t>,-</w:t>
            </w:r>
          </w:p>
        </w:tc>
      </w:tr>
      <w:tr w:rsidR="003F088A" w:rsidTr="008A0C24">
        <w:trPr>
          <w:trHeight w:val="142"/>
        </w:trPr>
        <w:tc>
          <w:tcPr>
            <w:tcW w:w="993" w:type="dxa"/>
            <w:vAlign w:val="center"/>
          </w:tcPr>
          <w:p w:rsidR="003F088A" w:rsidRDefault="003F088A" w:rsidP="00215EFD">
            <w:pPr>
              <w:numPr>
                <w:ilvl w:val="0"/>
                <w:numId w:val="29"/>
              </w:numPr>
              <w:tabs>
                <w:tab w:val="center" w:pos="567"/>
              </w:tabs>
              <w:ind w:right="-30"/>
              <w:jc w:val="center"/>
            </w:pPr>
          </w:p>
        </w:tc>
        <w:tc>
          <w:tcPr>
            <w:tcW w:w="4819" w:type="dxa"/>
          </w:tcPr>
          <w:p w:rsidR="003F088A" w:rsidRDefault="003F088A" w:rsidP="00E358FB">
            <w:pPr>
              <w:ind w:left="57" w:right="57"/>
              <w:jc w:val="both"/>
              <w:rPr>
                <w:snapToGrid w:val="0"/>
              </w:rPr>
            </w:pPr>
            <w:r>
              <w:rPr>
                <w:snapToGrid w:val="0"/>
              </w:rPr>
              <w:t>Deinstalace zdroje nepřetržitého napájení (UPS)</w:t>
            </w:r>
            <w:r w:rsidR="00E358FB">
              <w:rPr>
                <w:snapToGrid w:val="0"/>
              </w:rPr>
              <w:t xml:space="preserve"> </w:t>
            </w:r>
          </w:p>
        </w:tc>
        <w:tc>
          <w:tcPr>
            <w:tcW w:w="3402" w:type="dxa"/>
            <w:vAlign w:val="center"/>
          </w:tcPr>
          <w:p w:rsidR="003F088A" w:rsidRDefault="00B75BC3" w:rsidP="00B75BC3">
            <w:pPr>
              <w:jc w:val="center"/>
              <w:rPr>
                <w:i/>
                <w:snapToGrid w:val="0"/>
              </w:rPr>
            </w:pPr>
            <w:r>
              <w:rPr>
                <w:i/>
                <w:snapToGrid w:val="0"/>
              </w:rPr>
              <w:t>3 938</w:t>
            </w:r>
            <w:r w:rsidR="003F088A">
              <w:rPr>
                <w:i/>
                <w:snapToGrid w:val="0"/>
              </w:rPr>
              <w:t>,-</w:t>
            </w:r>
          </w:p>
        </w:tc>
      </w:tr>
      <w:tr w:rsidR="00E358FB" w:rsidTr="008A0C24">
        <w:trPr>
          <w:trHeight w:val="142"/>
        </w:trPr>
        <w:tc>
          <w:tcPr>
            <w:tcW w:w="993" w:type="dxa"/>
            <w:vAlign w:val="center"/>
          </w:tcPr>
          <w:p w:rsidR="00E358FB" w:rsidRDefault="00E358FB" w:rsidP="00215EFD">
            <w:pPr>
              <w:numPr>
                <w:ilvl w:val="0"/>
                <w:numId w:val="29"/>
              </w:numPr>
              <w:tabs>
                <w:tab w:val="center" w:pos="567"/>
              </w:tabs>
              <w:ind w:right="-30"/>
              <w:jc w:val="center"/>
            </w:pPr>
          </w:p>
        </w:tc>
        <w:tc>
          <w:tcPr>
            <w:tcW w:w="4819" w:type="dxa"/>
          </w:tcPr>
          <w:p w:rsidR="00E358FB" w:rsidRDefault="00E358FB" w:rsidP="00E358FB">
            <w:pPr>
              <w:ind w:left="57" w:right="57"/>
              <w:jc w:val="both"/>
              <w:rPr>
                <w:snapToGrid w:val="0"/>
              </w:rPr>
            </w:pPr>
            <w:r>
              <w:rPr>
                <w:snapToGrid w:val="0"/>
              </w:rPr>
              <w:t>Uvedení kolokačního prostoru do původního stavu</w:t>
            </w:r>
          </w:p>
        </w:tc>
        <w:tc>
          <w:tcPr>
            <w:tcW w:w="3402" w:type="dxa"/>
            <w:vAlign w:val="center"/>
          </w:tcPr>
          <w:p w:rsidR="00E358FB" w:rsidRDefault="00E358FB" w:rsidP="00B75BC3">
            <w:pPr>
              <w:jc w:val="center"/>
              <w:rPr>
                <w:i/>
                <w:snapToGrid w:val="0"/>
              </w:rPr>
            </w:pPr>
            <w:r>
              <w:rPr>
                <w:i/>
                <w:snapToGrid w:val="0"/>
              </w:rPr>
              <w:t xml:space="preserve"> 7 </w:t>
            </w:r>
            <w:r w:rsidR="00B75BC3">
              <w:rPr>
                <w:i/>
                <w:snapToGrid w:val="0"/>
              </w:rPr>
              <w:t>907</w:t>
            </w:r>
            <w:r>
              <w:rPr>
                <w:i/>
                <w:snapToGrid w:val="0"/>
              </w:rPr>
              <w:t>,-</w:t>
            </w:r>
          </w:p>
        </w:tc>
      </w:tr>
      <w:tr w:rsidR="00E358FB" w:rsidTr="008A0C24">
        <w:trPr>
          <w:trHeight w:val="142"/>
        </w:trPr>
        <w:tc>
          <w:tcPr>
            <w:tcW w:w="993" w:type="dxa"/>
            <w:vAlign w:val="center"/>
          </w:tcPr>
          <w:p w:rsidR="00E358FB" w:rsidRDefault="00E358FB" w:rsidP="00215EFD">
            <w:pPr>
              <w:numPr>
                <w:ilvl w:val="0"/>
                <w:numId w:val="29"/>
              </w:numPr>
              <w:tabs>
                <w:tab w:val="center" w:pos="567"/>
              </w:tabs>
              <w:ind w:right="-30"/>
              <w:jc w:val="center"/>
            </w:pPr>
          </w:p>
        </w:tc>
        <w:tc>
          <w:tcPr>
            <w:tcW w:w="4819" w:type="dxa"/>
          </w:tcPr>
          <w:p w:rsidR="00E358FB" w:rsidRDefault="00E358FB" w:rsidP="00C74168">
            <w:pPr>
              <w:ind w:left="57" w:right="57"/>
              <w:jc w:val="both"/>
              <w:rPr>
                <w:snapToGrid w:val="0"/>
              </w:rPr>
            </w:pPr>
            <w:r>
              <w:rPr>
                <w:snapToGrid w:val="0"/>
              </w:rPr>
              <w:t>Práce na projekčním průzkumu a schvalování projektové dokumentace</w:t>
            </w:r>
          </w:p>
          <w:p w:rsidR="00E358FB" w:rsidRDefault="00E358FB" w:rsidP="00E358FB">
            <w:pPr>
              <w:ind w:left="57" w:right="57"/>
              <w:jc w:val="both"/>
              <w:rPr>
                <w:snapToGrid w:val="0"/>
              </w:rPr>
            </w:pPr>
            <w:r>
              <w:rPr>
                <w:snapToGrid w:val="0"/>
              </w:rPr>
              <w:t xml:space="preserve">– jeden projekt Nájemce, ke kterému je vydáno stanovisko </w:t>
            </w:r>
          </w:p>
        </w:tc>
        <w:tc>
          <w:tcPr>
            <w:tcW w:w="3402" w:type="dxa"/>
            <w:vAlign w:val="center"/>
          </w:tcPr>
          <w:p w:rsidR="00E358FB" w:rsidRDefault="00E358FB" w:rsidP="00B75BC3">
            <w:pPr>
              <w:jc w:val="center"/>
              <w:rPr>
                <w:i/>
                <w:snapToGrid w:val="0"/>
              </w:rPr>
            </w:pPr>
            <w:r>
              <w:rPr>
                <w:i/>
                <w:snapToGrid w:val="0"/>
              </w:rPr>
              <w:t>14 </w:t>
            </w:r>
            <w:r w:rsidR="00B75BC3">
              <w:rPr>
                <w:i/>
                <w:snapToGrid w:val="0"/>
              </w:rPr>
              <w:t>153</w:t>
            </w:r>
            <w:r>
              <w:rPr>
                <w:i/>
                <w:snapToGrid w:val="0"/>
              </w:rPr>
              <w:t>,-</w:t>
            </w:r>
          </w:p>
        </w:tc>
      </w:tr>
    </w:tbl>
    <w:p w:rsidR="00851E6B" w:rsidRDefault="0098664A" w:rsidP="00A27C6F">
      <w:pPr>
        <w:keepNext/>
        <w:spacing w:before="240" w:after="120"/>
        <w:ind w:firstLine="709"/>
      </w:pPr>
      <w:r>
        <w:t>d)</w:t>
      </w:r>
      <w:r w:rsidR="00DE4DAA">
        <w:t xml:space="preserve"> </w:t>
      </w:r>
      <w:r w:rsidR="00851E6B">
        <w:t xml:space="preserve">ceny za poskytnutí služeb kolokace </w:t>
      </w:r>
      <w:r w:rsidR="00DF6C5C">
        <w:t>uplatňované</w:t>
      </w:r>
      <w:r w:rsidR="00851E6B">
        <w:t xml:space="preserve"> měsíčně:</w:t>
      </w: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92"/>
        <w:gridCol w:w="4820"/>
        <w:gridCol w:w="3402"/>
      </w:tblGrid>
      <w:tr w:rsidR="00851E6B">
        <w:trPr>
          <w:trHeight w:hRule="exact" w:val="907"/>
        </w:trPr>
        <w:tc>
          <w:tcPr>
            <w:tcW w:w="992" w:type="dxa"/>
            <w:tcBorders>
              <w:top w:val="single" w:sz="4" w:space="0" w:color="auto"/>
              <w:left w:val="single" w:sz="4" w:space="0" w:color="auto"/>
            </w:tcBorders>
          </w:tcPr>
          <w:p w:rsidR="00851E6B" w:rsidRDefault="00851E6B" w:rsidP="0082158A">
            <w:pPr>
              <w:ind w:left="57" w:right="57"/>
              <w:jc w:val="center"/>
            </w:pPr>
          </w:p>
        </w:tc>
        <w:tc>
          <w:tcPr>
            <w:tcW w:w="4820" w:type="dxa"/>
            <w:tcBorders>
              <w:top w:val="single" w:sz="4" w:space="0" w:color="auto"/>
              <w:left w:val="nil"/>
            </w:tcBorders>
            <w:vAlign w:val="center"/>
          </w:tcPr>
          <w:p w:rsidR="00851E6B" w:rsidRDefault="00851E6B" w:rsidP="0082158A">
            <w:pPr>
              <w:ind w:left="57" w:right="57"/>
              <w:jc w:val="both"/>
            </w:pPr>
            <w:r>
              <w:rPr>
                <w:snapToGrid w:val="0"/>
              </w:rPr>
              <w:t>Název služby</w:t>
            </w:r>
          </w:p>
        </w:tc>
        <w:tc>
          <w:tcPr>
            <w:tcW w:w="3402" w:type="dxa"/>
            <w:vAlign w:val="center"/>
          </w:tcPr>
          <w:p w:rsidR="00851E6B" w:rsidRDefault="00851E6B" w:rsidP="0082158A">
            <w:pPr>
              <w:ind w:left="57" w:right="57"/>
              <w:jc w:val="center"/>
              <w:rPr>
                <w:snapToGrid w:val="0"/>
              </w:rPr>
            </w:pPr>
            <w:r>
              <w:rPr>
                <w:snapToGrid w:val="0"/>
              </w:rPr>
              <w:t>Maximální cena v Kč bez daně z přidané hodnoty</w:t>
            </w:r>
          </w:p>
        </w:tc>
      </w:tr>
      <w:tr w:rsidR="00D90D55">
        <w:trPr>
          <w:trHeight w:val="142"/>
        </w:trPr>
        <w:tc>
          <w:tcPr>
            <w:tcW w:w="992" w:type="dxa"/>
            <w:vAlign w:val="center"/>
          </w:tcPr>
          <w:p w:rsidR="00D90D55" w:rsidRDefault="00D90D55" w:rsidP="00215EFD">
            <w:pPr>
              <w:numPr>
                <w:ilvl w:val="0"/>
                <w:numId w:val="28"/>
              </w:numPr>
              <w:tabs>
                <w:tab w:val="center" w:pos="567"/>
              </w:tabs>
              <w:ind w:right="-30"/>
              <w:jc w:val="center"/>
            </w:pPr>
          </w:p>
        </w:tc>
        <w:tc>
          <w:tcPr>
            <w:tcW w:w="4820" w:type="dxa"/>
          </w:tcPr>
          <w:p w:rsidR="00D90D55" w:rsidRDefault="00D90D55" w:rsidP="0082158A">
            <w:pPr>
              <w:ind w:left="57" w:right="57"/>
              <w:jc w:val="both"/>
              <w:rPr>
                <w:snapToGrid w:val="0"/>
              </w:rPr>
            </w:pPr>
            <w:r>
              <w:rPr>
                <w:snapToGrid w:val="0"/>
              </w:rPr>
              <w:t>Stíněný vnitřní spojovací kabel a pásek na hlavním rozvodu přidělený Poskytovateli</w:t>
            </w:r>
          </w:p>
          <w:p w:rsidR="00D90D55" w:rsidRDefault="00EF68A4" w:rsidP="0082158A">
            <w:pPr>
              <w:ind w:left="57" w:right="57"/>
              <w:jc w:val="both"/>
              <w:rPr>
                <w:snapToGrid w:val="0"/>
              </w:rPr>
            </w:pPr>
            <w:r>
              <w:rPr>
                <w:snapToGrid w:val="0"/>
              </w:rPr>
              <w:t>–</w:t>
            </w:r>
            <w:r w:rsidR="00D90D55">
              <w:rPr>
                <w:snapToGrid w:val="0"/>
              </w:rPr>
              <w:t xml:space="preserve"> spojovací kabely v kapacitě 96 párů</w:t>
            </w:r>
          </w:p>
        </w:tc>
        <w:tc>
          <w:tcPr>
            <w:tcW w:w="3402" w:type="dxa"/>
            <w:vAlign w:val="center"/>
          </w:tcPr>
          <w:p w:rsidR="00D90D55" w:rsidRPr="0082158A" w:rsidRDefault="00912D3C" w:rsidP="00B75BC3">
            <w:pPr>
              <w:jc w:val="center"/>
              <w:rPr>
                <w:i/>
                <w:snapToGrid w:val="0"/>
              </w:rPr>
            </w:pPr>
            <w:r>
              <w:rPr>
                <w:i/>
                <w:snapToGrid w:val="0"/>
              </w:rPr>
              <w:t xml:space="preserve"> 6</w:t>
            </w:r>
            <w:r w:rsidR="0073766E">
              <w:rPr>
                <w:i/>
                <w:snapToGrid w:val="0"/>
              </w:rPr>
              <w:t>1</w:t>
            </w:r>
            <w:r w:rsidR="00B75BC3">
              <w:rPr>
                <w:i/>
                <w:snapToGrid w:val="0"/>
              </w:rPr>
              <w:t>7</w:t>
            </w:r>
            <w:r>
              <w:rPr>
                <w:i/>
                <w:snapToGrid w:val="0"/>
              </w:rPr>
              <w:t>,-</w:t>
            </w:r>
          </w:p>
        </w:tc>
      </w:tr>
      <w:tr w:rsidR="00D90D55">
        <w:trPr>
          <w:trHeight w:val="142"/>
        </w:trPr>
        <w:tc>
          <w:tcPr>
            <w:tcW w:w="992" w:type="dxa"/>
            <w:vAlign w:val="center"/>
          </w:tcPr>
          <w:p w:rsidR="00D90D55" w:rsidRDefault="00D90D55" w:rsidP="00215EFD">
            <w:pPr>
              <w:numPr>
                <w:ilvl w:val="0"/>
                <w:numId w:val="28"/>
              </w:numPr>
              <w:tabs>
                <w:tab w:val="center" w:pos="567"/>
              </w:tabs>
              <w:ind w:right="-30"/>
              <w:jc w:val="center"/>
            </w:pPr>
          </w:p>
        </w:tc>
        <w:tc>
          <w:tcPr>
            <w:tcW w:w="4820" w:type="dxa"/>
          </w:tcPr>
          <w:p w:rsidR="00D90D55" w:rsidRDefault="00D90D55" w:rsidP="0082158A">
            <w:pPr>
              <w:ind w:left="57" w:right="57"/>
              <w:jc w:val="both"/>
              <w:rPr>
                <w:snapToGrid w:val="0"/>
              </w:rPr>
            </w:pPr>
            <w:r>
              <w:rPr>
                <w:snapToGrid w:val="0"/>
              </w:rPr>
              <w:t>Nestíněný vnitřní spojovací kabel a pásek na hlavním rozvodu přidělený Poskytovateli</w:t>
            </w:r>
          </w:p>
          <w:p w:rsidR="00D90D55" w:rsidRDefault="00EF68A4" w:rsidP="0082158A">
            <w:pPr>
              <w:ind w:left="57" w:right="57"/>
              <w:jc w:val="both"/>
              <w:rPr>
                <w:snapToGrid w:val="0"/>
              </w:rPr>
            </w:pPr>
            <w:r>
              <w:rPr>
                <w:snapToGrid w:val="0"/>
              </w:rPr>
              <w:t>–</w:t>
            </w:r>
            <w:r w:rsidR="00D90D55">
              <w:rPr>
                <w:snapToGrid w:val="0"/>
              </w:rPr>
              <w:t xml:space="preserve"> spojovací kabely v kapacitě 96 párů</w:t>
            </w:r>
          </w:p>
        </w:tc>
        <w:tc>
          <w:tcPr>
            <w:tcW w:w="3402" w:type="dxa"/>
            <w:vAlign w:val="center"/>
          </w:tcPr>
          <w:p w:rsidR="00D90D55" w:rsidRPr="0082158A" w:rsidRDefault="00912D3C" w:rsidP="00B75BC3">
            <w:pPr>
              <w:jc w:val="center"/>
              <w:rPr>
                <w:i/>
                <w:snapToGrid w:val="0"/>
              </w:rPr>
            </w:pPr>
            <w:r>
              <w:rPr>
                <w:i/>
                <w:snapToGrid w:val="0"/>
              </w:rPr>
              <w:t xml:space="preserve"> 4</w:t>
            </w:r>
            <w:r w:rsidR="0073766E">
              <w:rPr>
                <w:i/>
                <w:snapToGrid w:val="0"/>
              </w:rPr>
              <w:t>6</w:t>
            </w:r>
            <w:r w:rsidR="00B75BC3">
              <w:rPr>
                <w:i/>
                <w:snapToGrid w:val="0"/>
              </w:rPr>
              <w:t>4</w:t>
            </w:r>
            <w:r>
              <w:rPr>
                <w:i/>
                <w:snapToGrid w:val="0"/>
              </w:rPr>
              <w:t>,-</w:t>
            </w:r>
          </w:p>
        </w:tc>
      </w:tr>
      <w:tr w:rsidR="00D90D55">
        <w:trPr>
          <w:trHeight w:val="142"/>
        </w:trPr>
        <w:tc>
          <w:tcPr>
            <w:tcW w:w="992" w:type="dxa"/>
            <w:vAlign w:val="center"/>
          </w:tcPr>
          <w:p w:rsidR="00D90D55" w:rsidRDefault="00D90D55" w:rsidP="00215EFD">
            <w:pPr>
              <w:numPr>
                <w:ilvl w:val="0"/>
                <w:numId w:val="28"/>
              </w:numPr>
              <w:tabs>
                <w:tab w:val="center" w:pos="567"/>
              </w:tabs>
              <w:ind w:right="-30"/>
              <w:jc w:val="center"/>
            </w:pPr>
          </w:p>
        </w:tc>
        <w:tc>
          <w:tcPr>
            <w:tcW w:w="4820" w:type="dxa"/>
          </w:tcPr>
          <w:p w:rsidR="00D90D55" w:rsidRDefault="00D90D55" w:rsidP="0082158A">
            <w:pPr>
              <w:ind w:left="57" w:right="57"/>
              <w:jc w:val="both"/>
              <w:rPr>
                <w:snapToGrid w:val="0"/>
              </w:rPr>
            </w:pPr>
            <w:r>
              <w:rPr>
                <w:snapToGrid w:val="0"/>
              </w:rPr>
              <w:t>Stíněný vnitřní spojovací kabel, metalický 2</w:t>
            </w:r>
            <w:r w:rsidR="00215EFD">
              <w:rPr>
                <w:snapToGrid w:val="0"/>
              </w:rPr>
              <w:t> </w:t>
            </w:r>
            <w:r>
              <w:rPr>
                <w:snapToGrid w:val="0"/>
              </w:rPr>
              <w:t>Mbit/s, včetně digitálního rozvaděče</w:t>
            </w:r>
          </w:p>
          <w:p w:rsidR="00D90D55" w:rsidRDefault="00EF68A4" w:rsidP="0082158A">
            <w:pPr>
              <w:ind w:left="57" w:right="57"/>
              <w:jc w:val="both"/>
              <w:rPr>
                <w:snapToGrid w:val="0"/>
              </w:rPr>
            </w:pPr>
            <w:r>
              <w:rPr>
                <w:snapToGrid w:val="0"/>
              </w:rPr>
              <w:lastRenderedPageBreak/>
              <w:t>–</w:t>
            </w:r>
            <w:r w:rsidR="00D90D55">
              <w:rPr>
                <w:snapToGrid w:val="0"/>
              </w:rPr>
              <w:t xml:space="preserve"> pár</w:t>
            </w:r>
          </w:p>
        </w:tc>
        <w:tc>
          <w:tcPr>
            <w:tcW w:w="3402" w:type="dxa"/>
            <w:vAlign w:val="center"/>
          </w:tcPr>
          <w:p w:rsidR="00D90D55" w:rsidRPr="0082158A" w:rsidRDefault="00912D3C" w:rsidP="00B75BC3">
            <w:pPr>
              <w:jc w:val="center"/>
              <w:rPr>
                <w:i/>
                <w:snapToGrid w:val="0"/>
              </w:rPr>
            </w:pPr>
            <w:r>
              <w:rPr>
                <w:i/>
                <w:snapToGrid w:val="0"/>
              </w:rPr>
              <w:lastRenderedPageBreak/>
              <w:t xml:space="preserve"> </w:t>
            </w:r>
            <w:r w:rsidR="00B75BC3">
              <w:rPr>
                <w:i/>
                <w:snapToGrid w:val="0"/>
              </w:rPr>
              <w:t>29</w:t>
            </w:r>
            <w:r>
              <w:rPr>
                <w:i/>
                <w:snapToGrid w:val="0"/>
              </w:rPr>
              <w:t>,-</w:t>
            </w:r>
          </w:p>
        </w:tc>
      </w:tr>
      <w:tr w:rsidR="00D90D55">
        <w:trPr>
          <w:trHeight w:val="142"/>
        </w:trPr>
        <w:tc>
          <w:tcPr>
            <w:tcW w:w="992" w:type="dxa"/>
            <w:vAlign w:val="center"/>
          </w:tcPr>
          <w:p w:rsidR="00D90D55" w:rsidRDefault="00D90D55" w:rsidP="00215EFD">
            <w:pPr>
              <w:numPr>
                <w:ilvl w:val="0"/>
                <w:numId w:val="28"/>
              </w:numPr>
              <w:tabs>
                <w:tab w:val="center" w:pos="567"/>
              </w:tabs>
              <w:spacing w:before="120"/>
              <w:ind w:right="-30"/>
              <w:jc w:val="center"/>
            </w:pPr>
          </w:p>
        </w:tc>
        <w:tc>
          <w:tcPr>
            <w:tcW w:w="4820" w:type="dxa"/>
          </w:tcPr>
          <w:p w:rsidR="00BD23B4" w:rsidRDefault="00D90D55" w:rsidP="0082158A">
            <w:pPr>
              <w:ind w:left="57" w:right="57"/>
              <w:jc w:val="both"/>
              <w:rPr>
                <w:snapToGrid w:val="0"/>
              </w:rPr>
            </w:pPr>
            <w:r>
              <w:rPr>
                <w:snapToGrid w:val="0"/>
              </w:rPr>
              <w:t>Optický vnitřní spojovací kabel včetně optického rozvaděče</w:t>
            </w:r>
          </w:p>
          <w:p w:rsidR="00D90D55" w:rsidRDefault="00EF68A4" w:rsidP="0082158A">
            <w:pPr>
              <w:ind w:left="57" w:right="57"/>
              <w:jc w:val="both"/>
              <w:rPr>
                <w:snapToGrid w:val="0"/>
              </w:rPr>
            </w:pPr>
            <w:r>
              <w:rPr>
                <w:snapToGrid w:val="0"/>
              </w:rPr>
              <w:t>–</w:t>
            </w:r>
            <w:r w:rsidR="00D90D55">
              <w:rPr>
                <w:snapToGrid w:val="0"/>
              </w:rPr>
              <w:t xml:space="preserve"> pár vláken</w:t>
            </w:r>
          </w:p>
        </w:tc>
        <w:tc>
          <w:tcPr>
            <w:tcW w:w="3402" w:type="dxa"/>
            <w:vAlign w:val="center"/>
          </w:tcPr>
          <w:p w:rsidR="00D90D55" w:rsidRPr="0082158A" w:rsidRDefault="00912D3C" w:rsidP="00B75BC3">
            <w:pPr>
              <w:spacing w:before="120"/>
              <w:jc w:val="center"/>
              <w:rPr>
                <w:i/>
                <w:snapToGrid w:val="0"/>
              </w:rPr>
            </w:pPr>
            <w:r>
              <w:rPr>
                <w:i/>
                <w:snapToGrid w:val="0"/>
              </w:rPr>
              <w:t xml:space="preserve"> </w:t>
            </w:r>
            <w:r w:rsidR="00B75BC3">
              <w:rPr>
                <w:i/>
                <w:snapToGrid w:val="0"/>
              </w:rPr>
              <w:t>56</w:t>
            </w:r>
            <w:r>
              <w:rPr>
                <w:i/>
                <w:snapToGrid w:val="0"/>
              </w:rPr>
              <w:t>,-</w:t>
            </w:r>
          </w:p>
        </w:tc>
      </w:tr>
      <w:tr w:rsidR="00D90D55">
        <w:trPr>
          <w:trHeight w:val="142"/>
        </w:trPr>
        <w:tc>
          <w:tcPr>
            <w:tcW w:w="992" w:type="dxa"/>
            <w:vAlign w:val="center"/>
          </w:tcPr>
          <w:p w:rsidR="00D90D55" w:rsidRDefault="00D90D55" w:rsidP="00215EFD">
            <w:pPr>
              <w:numPr>
                <w:ilvl w:val="0"/>
                <w:numId w:val="28"/>
              </w:numPr>
              <w:tabs>
                <w:tab w:val="center" w:pos="567"/>
              </w:tabs>
              <w:ind w:right="-30"/>
              <w:jc w:val="center"/>
            </w:pPr>
          </w:p>
        </w:tc>
        <w:tc>
          <w:tcPr>
            <w:tcW w:w="4820" w:type="dxa"/>
          </w:tcPr>
          <w:p w:rsidR="00D90D55" w:rsidRDefault="00D90D55" w:rsidP="0082158A">
            <w:pPr>
              <w:ind w:left="57" w:right="57"/>
              <w:jc w:val="both"/>
              <w:rPr>
                <w:snapToGrid w:val="0"/>
              </w:rPr>
            </w:pPr>
            <w:r>
              <w:rPr>
                <w:snapToGrid w:val="0"/>
              </w:rPr>
              <w:t xml:space="preserve">Spotřeba energie </w:t>
            </w:r>
          </w:p>
          <w:p w:rsidR="00D90D55" w:rsidRDefault="00EF68A4" w:rsidP="0082158A">
            <w:pPr>
              <w:ind w:left="57" w:right="57"/>
              <w:jc w:val="both"/>
              <w:rPr>
                <w:snapToGrid w:val="0"/>
              </w:rPr>
            </w:pPr>
            <w:r>
              <w:rPr>
                <w:snapToGrid w:val="0"/>
              </w:rPr>
              <w:t>–</w:t>
            </w:r>
            <w:r w:rsidR="00D90D55">
              <w:rPr>
                <w:snapToGrid w:val="0"/>
              </w:rPr>
              <w:t xml:space="preserve"> kW příkonu instalovaného zařízení</w:t>
            </w:r>
          </w:p>
        </w:tc>
        <w:tc>
          <w:tcPr>
            <w:tcW w:w="3402" w:type="dxa"/>
            <w:vAlign w:val="center"/>
          </w:tcPr>
          <w:p w:rsidR="00D90D55" w:rsidRPr="0082158A" w:rsidRDefault="00912D3C" w:rsidP="00B75BC3">
            <w:pPr>
              <w:jc w:val="center"/>
              <w:rPr>
                <w:i/>
                <w:snapToGrid w:val="0"/>
              </w:rPr>
            </w:pPr>
            <w:r>
              <w:rPr>
                <w:i/>
                <w:snapToGrid w:val="0"/>
              </w:rPr>
              <w:t xml:space="preserve"> 2 </w:t>
            </w:r>
            <w:r w:rsidR="00B75BC3">
              <w:rPr>
                <w:i/>
                <w:snapToGrid w:val="0"/>
              </w:rPr>
              <w:t>514</w:t>
            </w:r>
            <w:r>
              <w:rPr>
                <w:i/>
                <w:snapToGrid w:val="0"/>
              </w:rPr>
              <w:t>,-</w:t>
            </w:r>
          </w:p>
        </w:tc>
      </w:tr>
      <w:tr w:rsidR="00D90D55">
        <w:trPr>
          <w:trHeight w:val="142"/>
        </w:trPr>
        <w:tc>
          <w:tcPr>
            <w:tcW w:w="992" w:type="dxa"/>
            <w:vAlign w:val="center"/>
          </w:tcPr>
          <w:p w:rsidR="00D90D55" w:rsidRDefault="00D90D55" w:rsidP="00215EFD">
            <w:pPr>
              <w:numPr>
                <w:ilvl w:val="0"/>
                <w:numId w:val="28"/>
              </w:numPr>
              <w:tabs>
                <w:tab w:val="center" w:pos="567"/>
              </w:tabs>
              <w:ind w:right="-30"/>
              <w:jc w:val="center"/>
            </w:pPr>
          </w:p>
        </w:tc>
        <w:tc>
          <w:tcPr>
            <w:tcW w:w="4820" w:type="dxa"/>
          </w:tcPr>
          <w:p w:rsidR="00D90D55" w:rsidRDefault="002D5C9F" w:rsidP="0082158A">
            <w:pPr>
              <w:ind w:left="57" w:right="57"/>
              <w:jc w:val="both"/>
              <w:rPr>
                <w:snapToGrid w:val="0"/>
              </w:rPr>
            </w:pPr>
            <w:r>
              <w:rPr>
                <w:snapToGrid w:val="0"/>
              </w:rPr>
              <w:t>Poskytování napájení 48</w:t>
            </w:r>
            <w:r w:rsidR="00D90D55">
              <w:rPr>
                <w:snapToGrid w:val="0"/>
              </w:rPr>
              <w:t>V</w:t>
            </w:r>
            <w:r>
              <w:rPr>
                <w:snapToGrid w:val="0"/>
              </w:rPr>
              <w:t> nebo 230V</w:t>
            </w:r>
            <w:r w:rsidR="0017699C">
              <w:rPr>
                <w:snapToGrid w:val="0"/>
              </w:rPr>
              <w:t xml:space="preserve"> </w:t>
            </w:r>
            <w:r w:rsidR="00EF68A4">
              <w:rPr>
                <w:snapToGrid w:val="0"/>
              </w:rPr>
              <w:t>–</w:t>
            </w:r>
            <w:r w:rsidR="00D90D55">
              <w:rPr>
                <w:snapToGrid w:val="0"/>
              </w:rPr>
              <w:t xml:space="preserve"> skříň</w:t>
            </w:r>
            <w:r>
              <w:rPr>
                <w:snapToGrid w:val="0"/>
              </w:rPr>
              <w:t xml:space="preserve"> (nezálohované)</w:t>
            </w:r>
          </w:p>
        </w:tc>
        <w:tc>
          <w:tcPr>
            <w:tcW w:w="3402" w:type="dxa"/>
            <w:vAlign w:val="center"/>
          </w:tcPr>
          <w:p w:rsidR="00D90D55" w:rsidRPr="0082158A" w:rsidRDefault="00912D3C" w:rsidP="00A6357D">
            <w:pPr>
              <w:jc w:val="center"/>
              <w:rPr>
                <w:i/>
                <w:snapToGrid w:val="0"/>
              </w:rPr>
            </w:pPr>
            <w:r>
              <w:rPr>
                <w:i/>
                <w:snapToGrid w:val="0"/>
              </w:rPr>
              <w:t xml:space="preserve"> </w:t>
            </w:r>
            <w:r w:rsidR="00A6357D">
              <w:rPr>
                <w:i/>
                <w:snapToGrid w:val="0"/>
              </w:rPr>
              <w:t>182</w:t>
            </w:r>
            <w:r>
              <w:rPr>
                <w:i/>
                <w:snapToGrid w:val="0"/>
              </w:rPr>
              <w:t xml:space="preserve">,- </w:t>
            </w:r>
          </w:p>
        </w:tc>
      </w:tr>
      <w:tr w:rsidR="00D90D55">
        <w:trPr>
          <w:trHeight w:val="142"/>
        </w:trPr>
        <w:tc>
          <w:tcPr>
            <w:tcW w:w="992" w:type="dxa"/>
            <w:vAlign w:val="center"/>
          </w:tcPr>
          <w:p w:rsidR="00D90D55" w:rsidRPr="00E53595" w:rsidRDefault="00D90D55" w:rsidP="00215EFD">
            <w:pPr>
              <w:numPr>
                <w:ilvl w:val="0"/>
                <w:numId w:val="28"/>
              </w:numPr>
              <w:tabs>
                <w:tab w:val="center" w:pos="567"/>
              </w:tabs>
              <w:ind w:right="-30"/>
              <w:jc w:val="center"/>
            </w:pPr>
          </w:p>
        </w:tc>
        <w:tc>
          <w:tcPr>
            <w:tcW w:w="4820" w:type="dxa"/>
          </w:tcPr>
          <w:p w:rsidR="00D90D55" w:rsidRPr="00E53595" w:rsidRDefault="00D90D55" w:rsidP="0082158A">
            <w:pPr>
              <w:ind w:left="57" w:right="57"/>
              <w:jc w:val="both"/>
              <w:rPr>
                <w:snapToGrid w:val="0"/>
              </w:rPr>
            </w:pPr>
            <w:r w:rsidRPr="00E53595">
              <w:rPr>
                <w:snapToGrid w:val="0"/>
              </w:rPr>
              <w:t xml:space="preserve">Pronájem kolokačního prostoru </w:t>
            </w:r>
          </w:p>
          <w:p w:rsidR="00BA2ACC" w:rsidRPr="00E53595" w:rsidRDefault="00BA2ACC" w:rsidP="0082158A">
            <w:pPr>
              <w:ind w:left="57" w:right="57"/>
              <w:jc w:val="both"/>
              <w:rPr>
                <w:snapToGrid w:val="0"/>
              </w:rPr>
            </w:pPr>
            <w:r w:rsidRPr="00E53595">
              <w:rPr>
                <w:snapToGrid w:val="0"/>
              </w:rPr>
              <w:t>– umístění jedné skříně</w:t>
            </w:r>
          </w:p>
        </w:tc>
        <w:tc>
          <w:tcPr>
            <w:tcW w:w="3402" w:type="dxa"/>
            <w:vAlign w:val="center"/>
          </w:tcPr>
          <w:p w:rsidR="00D90D55" w:rsidRPr="0082158A" w:rsidRDefault="00912D3C" w:rsidP="00A6357D">
            <w:pPr>
              <w:jc w:val="center"/>
              <w:rPr>
                <w:i/>
                <w:snapToGrid w:val="0"/>
              </w:rPr>
            </w:pPr>
            <w:r>
              <w:rPr>
                <w:i/>
                <w:snapToGrid w:val="0"/>
              </w:rPr>
              <w:t xml:space="preserve"> 5 </w:t>
            </w:r>
            <w:r w:rsidR="00A6357D">
              <w:rPr>
                <w:i/>
                <w:snapToGrid w:val="0"/>
              </w:rPr>
              <w:t>127</w:t>
            </w:r>
            <w:r>
              <w:rPr>
                <w:i/>
                <w:snapToGrid w:val="0"/>
              </w:rPr>
              <w:t>,-</w:t>
            </w:r>
          </w:p>
        </w:tc>
      </w:tr>
      <w:tr w:rsidR="00D90D55">
        <w:trPr>
          <w:trHeight w:val="142"/>
        </w:trPr>
        <w:tc>
          <w:tcPr>
            <w:tcW w:w="992" w:type="dxa"/>
            <w:vAlign w:val="center"/>
          </w:tcPr>
          <w:p w:rsidR="00D90D55" w:rsidRDefault="00D90D55" w:rsidP="00215EFD">
            <w:pPr>
              <w:numPr>
                <w:ilvl w:val="0"/>
                <w:numId w:val="28"/>
              </w:numPr>
              <w:tabs>
                <w:tab w:val="center" w:pos="567"/>
              </w:tabs>
              <w:ind w:right="-30"/>
              <w:jc w:val="center"/>
            </w:pPr>
          </w:p>
        </w:tc>
        <w:tc>
          <w:tcPr>
            <w:tcW w:w="4820" w:type="dxa"/>
          </w:tcPr>
          <w:p w:rsidR="00D90D55" w:rsidRDefault="00D90D55" w:rsidP="0082158A">
            <w:pPr>
              <w:ind w:left="57" w:right="57"/>
              <w:jc w:val="both"/>
              <w:rPr>
                <w:snapToGrid w:val="0"/>
              </w:rPr>
            </w:pPr>
            <w:r>
              <w:rPr>
                <w:snapToGrid w:val="0"/>
              </w:rPr>
              <w:t xml:space="preserve">Zdroj nepřetržitého napájení (UPS) </w:t>
            </w:r>
          </w:p>
          <w:p w:rsidR="00D90D55" w:rsidRDefault="00EF68A4" w:rsidP="0082158A">
            <w:pPr>
              <w:ind w:left="57" w:right="57"/>
              <w:jc w:val="both"/>
              <w:rPr>
                <w:snapToGrid w:val="0"/>
              </w:rPr>
            </w:pPr>
            <w:r>
              <w:rPr>
                <w:snapToGrid w:val="0"/>
              </w:rPr>
              <w:t>– j</w:t>
            </w:r>
            <w:r w:rsidR="00D90D55">
              <w:rPr>
                <w:snapToGrid w:val="0"/>
              </w:rPr>
              <w:t>ednotka UPS</w:t>
            </w:r>
          </w:p>
        </w:tc>
        <w:tc>
          <w:tcPr>
            <w:tcW w:w="3402" w:type="dxa"/>
            <w:vAlign w:val="center"/>
          </w:tcPr>
          <w:p w:rsidR="00D90D55" w:rsidRPr="0082158A" w:rsidRDefault="00912D3C" w:rsidP="00A6357D">
            <w:pPr>
              <w:jc w:val="center"/>
              <w:rPr>
                <w:i/>
                <w:snapToGrid w:val="0"/>
              </w:rPr>
            </w:pPr>
            <w:r>
              <w:rPr>
                <w:i/>
                <w:snapToGrid w:val="0"/>
              </w:rPr>
              <w:t xml:space="preserve"> 5</w:t>
            </w:r>
            <w:r w:rsidR="00A6357D">
              <w:rPr>
                <w:i/>
                <w:snapToGrid w:val="0"/>
              </w:rPr>
              <w:t>54</w:t>
            </w:r>
            <w:r>
              <w:rPr>
                <w:i/>
                <w:snapToGrid w:val="0"/>
              </w:rPr>
              <w:t>,-</w:t>
            </w:r>
          </w:p>
        </w:tc>
      </w:tr>
      <w:tr w:rsidR="00D90D55">
        <w:trPr>
          <w:trHeight w:val="142"/>
        </w:trPr>
        <w:tc>
          <w:tcPr>
            <w:tcW w:w="992" w:type="dxa"/>
            <w:vAlign w:val="center"/>
          </w:tcPr>
          <w:p w:rsidR="00D90D55" w:rsidRDefault="00D90D55" w:rsidP="00215EFD">
            <w:pPr>
              <w:numPr>
                <w:ilvl w:val="0"/>
                <w:numId w:val="28"/>
              </w:numPr>
              <w:tabs>
                <w:tab w:val="center" w:pos="567"/>
              </w:tabs>
              <w:ind w:right="-30"/>
              <w:jc w:val="center"/>
            </w:pPr>
          </w:p>
        </w:tc>
        <w:tc>
          <w:tcPr>
            <w:tcW w:w="4820" w:type="dxa"/>
          </w:tcPr>
          <w:p w:rsidR="00D90D55" w:rsidRDefault="00D90D55" w:rsidP="0082158A">
            <w:pPr>
              <w:ind w:left="57" w:right="57"/>
              <w:jc w:val="both"/>
              <w:rPr>
                <w:snapToGrid w:val="0"/>
              </w:rPr>
            </w:pPr>
            <w:r>
              <w:rPr>
                <w:snapToGrid w:val="0"/>
              </w:rPr>
              <w:t>Kabel sběrného okruhu – optický</w:t>
            </w:r>
          </w:p>
          <w:p w:rsidR="00D90D55" w:rsidRDefault="00EF68A4" w:rsidP="0082158A">
            <w:pPr>
              <w:ind w:left="57" w:right="57"/>
              <w:jc w:val="both"/>
              <w:rPr>
                <w:snapToGrid w:val="0"/>
              </w:rPr>
            </w:pPr>
            <w:r>
              <w:rPr>
                <w:snapToGrid w:val="0"/>
              </w:rPr>
              <w:t>–</w:t>
            </w:r>
            <w:r w:rsidR="00D90D55">
              <w:rPr>
                <w:snapToGrid w:val="0"/>
              </w:rPr>
              <w:t xml:space="preserve"> pár vláken</w:t>
            </w:r>
          </w:p>
        </w:tc>
        <w:tc>
          <w:tcPr>
            <w:tcW w:w="3402" w:type="dxa"/>
            <w:vAlign w:val="center"/>
          </w:tcPr>
          <w:p w:rsidR="00D90D55" w:rsidRPr="0082158A" w:rsidRDefault="00912D3C" w:rsidP="00A6357D">
            <w:pPr>
              <w:jc w:val="center"/>
              <w:rPr>
                <w:i/>
                <w:snapToGrid w:val="0"/>
              </w:rPr>
            </w:pPr>
            <w:r>
              <w:rPr>
                <w:i/>
                <w:snapToGrid w:val="0"/>
              </w:rPr>
              <w:t xml:space="preserve"> </w:t>
            </w:r>
            <w:r w:rsidR="00A6357D">
              <w:rPr>
                <w:i/>
                <w:snapToGrid w:val="0"/>
              </w:rPr>
              <w:t>48</w:t>
            </w:r>
            <w:r>
              <w:rPr>
                <w:i/>
                <w:snapToGrid w:val="0"/>
              </w:rPr>
              <w:t>,-</w:t>
            </w:r>
          </w:p>
        </w:tc>
      </w:tr>
      <w:tr w:rsidR="00D90D55">
        <w:trPr>
          <w:trHeight w:val="142"/>
        </w:trPr>
        <w:tc>
          <w:tcPr>
            <w:tcW w:w="992" w:type="dxa"/>
            <w:vAlign w:val="center"/>
          </w:tcPr>
          <w:p w:rsidR="00D90D55" w:rsidRDefault="00D90D55" w:rsidP="00215EFD">
            <w:pPr>
              <w:numPr>
                <w:ilvl w:val="0"/>
                <w:numId w:val="28"/>
              </w:numPr>
              <w:tabs>
                <w:tab w:val="center" w:pos="567"/>
              </w:tabs>
              <w:ind w:right="-30"/>
              <w:jc w:val="center"/>
            </w:pPr>
          </w:p>
        </w:tc>
        <w:tc>
          <w:tcPr>
            <w:tcW w:w="4820" w:type="dxa"/>
          </w:tcPr>
          <w:p w:rsidR="00D90D55" w:rsidRDefault="00D90D55" w:rsidP="0082158A">
            <w:pPr>
              <w:ind w:left="57" w:right="57"/>
              <w:jc w:val="both"/>
              <w:rPr>
                <w:snapToGrid w:val="0"/>
              </w:rPr>
            </w:pPr>
            <w:r>
              <w:rPr>
                <w:snapToGrid w:val="0"/>
              </w:rPr>
              <w:t>Pásek na hlavním rozvodu pro službu jiné technické řešení</w:t>
            </w:r>
          </w:p>
        </w:tc>
        <w:tc>
          <w:tcPr>
            <w:tcW w:w="3402" w:type="dxa"/>
            <w:vAlign w:val="center"/>
          </w:tcPr>
          <w:p w:rsidR="00D90D55" w:rsidRPr="0082158A" w:rsidRDefault="00912D3C" w:rsidP="00A6357D">
            <w:pPr>
              <w:jc w:val="center"/>
              <w:rPr>
                <w:i/>
                <w:snapToGrid w:val="0"/>
              </w:rPr>
            </w:pPr>
            <w:r>
              <w:rPr>
                <w:i/>
                <w:snapToGrid w:val="0"/>
              </w:rPr>
              <w:t xml:space="preserve"> 28</w:t>
            </w:r>
            <w:r w:rsidR="00A6357D">
              <w:rPr>
                <w:i/>
                <w:snapToGrid w:val="0"/>
              </w:rPr>
              <w:t>8</w:t>
            </w:r>
            <w:r>
              <w:rPr>
                <w:i/>
                <w:snapToGrid w:val="0"/>
              </w:rPr>
              <w:t>,-</w:t>
            </w:r>
          </w:p>
        </w:tc>
      </w:tr>
      <w:tr w:rsidR="00D90D55">
        <w:trPr>
          <w:trHeight w:val="142"/>
        </w:trPr>
        <w:tc>
          <w:tcPr>
            <w:tcW w:w="992" w:type="dxa"/>
            <w:vAlign w:val="center"/>
          </w:tcPr>
          <w:p w:rsidR="00D90D55" w:rsidRDefault="00D90D55" w:rsidP="00215EFD">
            <w:pPr>
              <w:numPr>
                <w:ilvl w:val="0"/>
                <w:numId w:val="28"/>
              </w:numPr>
              <w:tabs>
                <w:tab w:val="center" w:pos="567"/>
              </w:tabs>
              <w:ind w:right="-30"/>
              <w:jc w:val="center"/>
            </w:pPr>
          </w:p>
        </w:tc>
        <w:tc>
          <w:tcPr>
            <w:tcW w:w="4820" w:type="dxa"/>
          </w:tcPr>
          <w:p w:rsidR="00D90D55" w:rsidRDefault="00D90D55" w:rsidP="00F5140B">
            <w:pPr>
              <w:ind w:left="57" w:right="57"/>
              <w:jc w:val="both"/>
              <w:rPr>
                <w:snapToGrid w:val="0"/>
              </w:rPr>
            </w:pPr>
            <w:r>
              <w:rPr>
                <w:snapToGrid w:val="0"/>
              </w:rPr>
              <w:t>Kabel sběrného okruhu – metalický</w:t>
            </w:r>
            <w:r w:rsidR="00F5140B">
              <w:rPr>
                <w:snapToGrid w:val="0"/>
              </w:rPr>
              <w:t xml:space="preserve"> </w:t>
            </w:r>
            <w:r w:rsidR="00EF68A4">
              <w:rPr>
                <w:snapToGrid w:val="0"/>
              </w:rPr>
              <w:t>–</w:t>
            </w:r>
            <w:r>
              <w:rPr>
                <w:snapToGrid w:val="0"/>
              </w:rPr>
              <w:t xml:space="preserve"> pár</w:t>
            </w:r>
          </w:p>
        </w:tc>
        <w:tc>
          <w:tcPr>
            <w:tcW w:w="3402" w:type="dxa"/>
            <w:vAlign w:val="center"/>
          </w:tcPr>
          <w:p w:rsidR="00D90D55" w:rsidRPr="0082158A" w:rsidRDefault="00912D3C" w:rsidP="00A6357D">
            <w:pPr>
              <w:jc w:val="center"/>
              <w:rPr>
                <w:i/>
                <w:snapToGrid w:val="0"/>
              </w:rPr>
            </w:pPr>
            <w:r>
              <w:rPr>
                <w:i/>
                <w:snapToGrid w:val="0"/>
              </w:rPr>
              <w:t xml:space="preserve"> </w:t>
            </w:r>
            <w:r w:rsidR="00A6357D">
              <w:rPr>
                <w:i/>
                <w:snapToGrid w:val="0"/>
              </w:rPr>
              <w:t>28</w:t>
            </w:r>
            <w:r>
              <w:rPr>
                <w:i/>
                <w:snapToGrid w:val="0"/>
              </w:rPr>
              <w:t>,-</w:t>
            </w:r>
          </w:p>
        </w:tc>
      </w:tr>
      <w:tr w:rsidR="00D90D55">
        <w:trPr>
          <w:trHeight w:val="142"/>
        </w:trPr>
        <w:tc>
          <w:tcPr>
            <w:tcW w:w="992" w:type="dxa"/>
            <w:vAlign w:val="center"/>
          </w:tcPr>
          <w:p w:rsidR="00D90D55" w:rsidRDefault="00D90D55" w:rsidP="00215EFD">
            <w:pPr>
              <w:numPr>
                <w:ilvl w:val="0"/>
                <w:numId w:val="28"/>
              </w:numPr>
              <w:tabs>
                <w:tab w:val="center" w:pos="567"/>
              </w:tabs>
              <w:ind w:right="-30"/>
              <w:jc w:val="center"/>
            </w:pPr>
          </w:p>
        </w:tc>
        <w:tc>
          <w:tcPr>
            <w:tcW w:w="4820" w:type="dxa"/>
          </w:tcPr>
          <w:p w:rsidR="00D90D55" w:rsidRDefault="00D90D55" w:rsidP="00F5140B">
            <w:pPr>
              <w:ind w:left="57" w:right="57"/>
              <w:jc w:val="both"/>
              <w:rPr>
                <w:snapToGrid w:val="0"/>
              </w:rPr>
            </w:pPr>
            <w:r>
              <w:rPr>
                <w:snapToGrid w:val="0"/>
              </w:rPr>
              <w:t xml:space="preserve">Vnější spojovací kabel </w:t>
            </w:r>
            <w:r w:rsidR="00EF68A4">
              <w:rPr>
                <w:snapToGrid w:val="0"/>
              </w:rPr>
              <w:t>–</w:t>
            </w:r>
            <w:r>
              <w:rPr>
                <w:snapToGrid w:val="0"/>
              </w:rPr>
              <w:t xml:space="preserve"> metalický </w:t>
            </w:r>
            <w:r w:rsidR="00EF68A4">
              <w:rPr>
                <w:snapToGrid w:val="0"/>
              </w:rPr>
              <w:t>–</w:t>
            </w:r>
            <w:r>
              <w:rPr>
                <w:snapToGrid w:val="0"/>
              </w:rPr>
              <w:t xml:space="preserve"> pro vnitřní</w:t>
            </w:r>
            <w:r w:rsidR="00F5140B">
              <w:rPr>
                <w:snapToGrid w:val="0"/>
              </w:rPr>
              <w:t xml:space="preserve"> nebo vnější prostředí </w:t>
            </w:r>
            <w:r w:rsidR="00EF68A4">
              <w:rPr>
                <w:snapToGrid w:val="0"/>
              </w:rPr>
              <w:t>–</w:t>
            </w:r>
            <w:r>
              <w:rPr>
                <w:snapToGrid w:val="0"/>
              </w:rPr>
              <w:t xml:space="preserve"> spojovací kabely v kapacitě 96 párů</w:t>
            </w:r>
          </w:p>
        </w:tc>
        <w:tc>
          <w:tcPr>
            <w:tcW w:w="3402" w:type="dxa"/>
            <w:vAlign w:val="center"/>
          </w:tcPr>
          <w:p w:rsidR="00D90D55" w:rsidRPr="0082158A" w:rsidRDefault="00912D3C" w:rsidP="00A6357D">
            <w:pPr>
              <w:jc w:val="center"/>
              <w:rPr>
                <w:i/>
                <w:snapToGrid w:val="0"/>
              </w:rPr>
            </w:pPr>
            <w:r>
              <w:rPr>
                <w:i/>
                <w:snapToGrid w:val="0"/>
              </w:rPr>
              <w:t xml:space="preserve"> </w:t>
            </w:r>
            <w:r w:rsidR="00793E0B">
              <w:rPr>
                <w:i/>
                <w:snapToGrid w:val="0"/>
              </w:rPr>
              <w:t>5</w:t>
            </w:r>
            <w:r w:rsidR="00A6357D">
              <w:rPr>
                <w:i/>
                <w:snapToGrid w:val="0"/>
              </w:rPr>
              <w:t>35</w:t>
            </w:r>
            <w:r>
              <w:rPr>
                <w:i/>
                <w:snapToGrid w:val="0"/>
              </w:rPr>
              <w:t>,-</w:t>
            </w:r>
          </w:p>
        </w:tc>
      </w:tr>
      <w:tr w:rsidR="00D90D55">
        <w:trPr>
          <w:trHeight w:val="142"/>
        </w:trPr>
        <w:tc>
          <w:tcPr>
            <w:tcW w:w="992" w:type="dxa"/>
            <w:vAlign w:val="center"/>
          </w:tcPr>
          <w:p w:rsidR="00D90D55" w:rsidRDefault="00D90D55" w:rsidP="00215EFD">
            <w:pPr>
              <w:numPr>
                <w:ilvl w:val="0"/>
                <w:numId w:val="28"/>
              </w:numPr>
              <w:tabs>
                <w:tab w:val="center" w:pos="567"/>
              </w:tabs>
              <w:ind w:right="-30"/>
              <w:jc w:val="center"/>
            </w:pPr>
          </w:p>
        </w:tc>
        <w:tc>
          <w:tcPr>
            <w:tcW w:w="4820" w:type="dxa"/>
          </w:tcPr>
          <w:p w:rsidR="00D90D55" w:rsidRDefault="00D90D55" w:rsidP="00F5140B">
            <w:pPr>
              <w:ind w:left="57" w:right="57"/>
              <w:jc w:val="both"/>
              <w:rPr>
                <w:snapToGrid w:val="0"/>
              </w:rPr>
            </w:pPr>
            <w:r>
              <w:rPr>
                <w:snapToGrid w:val="0"/>
              </w:rPr>
              <w:t xml:space="preserve">Vnější spojovací kabel stíněný </w:t>
            </w:r>
            <w:r w:rsidR="00EF68A4">
              <w:rPr>
                <w:snapToGrid w:val="0"/>
              </w:rPr>
              <w:t>–</w:t>
            </w:r>
            <w:r>
              <w:rPr>
                <w:snapToGrid w:val="0"/>
              </w:rPr>
              <w:t xml:space="preserve"> metalický </w:t>
            </w:r>
            <w:r w:rsidR="00EF68A4">
              <w:rPr>
                <w:snapToGrid w:val="0"/>
              </w:rPr>
              <w:t>–</w:t>
            </w:r>
            <w:r>
              <w:rPr>
                <w:snapToGrid w:val="0"/>
              </w:rPr>
              <w:t xml:space="preserve"> pro vnitřní</w:t>
            </w:r>
            <w:r w:rsidR="00F5140B">
              <w:rPr>
                <w:snapToGrid w:val="0"/>
              </w:rPr>
              <w:t xml:space="preserve"> nebo vnější</w:t>
            </w:r>
            <w:r>
              <w:rPr>
                <w:snapToGrid w:val="0"/>
              </w:rPr>
              <w:t xml:space="preserve"> prostředí</w:t>
            </w:r>
            <w:r w:rsidR="00F5140B">
              <w:rPr>
                <w:snapToGrid w:val="0"/>
              </w:rPr>
              <w:t xml:space="preserve"> </w:t>
            </w:r>
            <w:r w:rsidR="00EF68A4">
              <w:rPr>
                <w:snapToGrid w:val="0"/>
              </w:rPr>
              <w:t>–</w:t>
            </w:r>
            <w:r>
              <w:rPr>
                <w:snapToGrid w:val="0"/>
              </w:rPr>
              <w:t xml:space="preserve"> spojovací kabely v kapacitě 96 párů</w:t>
            </w:r>
          </w:p>
        </w:tc>
        <w:tc>
          <w:tcPr>
            <w:tcW w:w="3402" w:type="dxa"/>
            <w:vAlign w:val="center"/>
          </w:tcPr>
          <w:p w:rsidR="00D90D55" w:rsidRPr="0082158A" w:rsidRDefault="00912D3C" w:rsidP="00A6357D">
            <w:pPr>
              <w:jc w:val="center"/>
              <w:rPr>
                <w:i/>
                <w:snapToGrid w:val="0"/>
              </w:rPr>
            </w:pPr>
            <w:r>
              <w:rPr>
                <w:i/>
                <w:snapToGrid w:val="0"/>
              </w:rPr>
              <w:t xml:space="preserve"> </w:t>
            </w:r>
            <w:r w:rsidR="00A6357D">
              <w:rPr>
                <w:i/>
                <w:snapToGrid w:val="0"/>
              </w:rPr>
              <w:t>683</w:t>
            </w:r>
            <w:r>
              <w:rPr>
                <w:i/>
                <w:snapToGrid w:val="0"/>
              </w:rPr>
              <w:t xml:space="preserve">,- </w:t>
            </w:r>
          </w:p>
        </w:tc>
      </w:tr>
      <w:tr w:rsidR="00D90D55">
        <w:trPr>
          <w:trHeight w:val="142"/>
        </w:trPr>
        <w:tc>
          <w:tcPr>
            <w:tcW w:w="992" w:type="dxa"/>
            <w:vAlign w:val="center"/>
          </w:tcPr>
          <w:p w:rsidR="00D90D55" w:rsidRDefault="00D90D55" w:rsidP="00215EFD">
            <w:pPr>
              <w:numPr>
                <w:ilvl w:val="0"/>
                <w:numId w:val="28"/>
              </w:numPr>
              <w:tabs>
                <w:tab w:val="center" w:pos="567"/>
              </w:tabs>
              <w:ind w:right="-30"/>
              <w:jc w:val="center"/>
            </w:pPr>
          </w:p>
        </w:tc>
        <w:tc>
          <w:tcPr>
            <w:tcW w:w="4820" w:type="dxa"/>
          </w:tcPr>
          <w:p w:rsidR="00D90D55" w:rsidRDefault="00D90D55" w:rsidP="0082158A">
            <w:pPr>
              <w:ind w:left="57" w:right="57"/>
              <w:jc w:val="both"/>
              <w:rPr>
                <w:snapToGrid w:val="0"/>
              </w:rPr>
            </w:pPr>
            <w:r w:rsidRPr="00A23DF4">
              <w:rPr>
                <w:snapToGrid w:val="0"/>
              </w:rPr>
              <w:t>Nájem prostoru pro umístění roštu Nájemce v</w:t>
            </w:r>
            <w:r>
              <w:rPr>
                <w:snapToGrid w:val="0"/>
              </w:rPr>
              <w:t> </w:t>
            </w:r>
            <w:r w:rsidRPr="00A23DF4">
              <w:rPr>
                <w:snapToGrid w:val="0"/>
              </w:rPr>
              <w:t>budově</w:t>
            </w:r>
            <w:r>
              <w:rPr>
                <w:snapToGrid w:val="0"/>
              </w:rPr>
              <w:t xml:space="preserve"> </w:t>
            </w:r>
          </w:p>
          <w:p w:rsidR="00D90D55" w:rsidRPr="00A23DF4" w:rsidRDefault="00EF68A4" w:rsidP="0082158A">
            <w:pPr>
              <w:ind w:left="57" w:right="57"/>
              <w:jc w:val="both"/>
              <w:rPr>
                <w:snapToGrid w:val="0"/>
              </w:rPr>
            </w:pPr>
            <w:r>
              <w:rPr>
                <w:snapToGrid w:val="0"/>
              </w:rPr>
              <w:t>–</w:t>
            </w:r>
            <w:r w:rsidR="00D90D55">
              <w:rPr>
                <w:snapToGrid w:val="0"/>
              </w:rPr>
              <w:t xml:space="preserve"> běžný metr kabelového roštu</w:t>
            </w:r>
          </w:p>
        </w:tc>
        <w:tc>
          <w:tcPr>
            <w:tcW w:w="3402" w:type="dxa"/>
            <w:vAlign w:val="center"/>
          </w:tcPr>
          <w:p w:rsidR="00D90D55" w:rsidRPr="0082158A" w:rsidRDefault="00912D3C" w:rsidP="00316522">
            <w:pPr>
              <w:jc w:val="center"/>
              <w:rPr>
                <w:i/>
                <w:snapToGrid w:val="0"/>
              </w:rPr>
            </w:pPr>
            <w:r>
              <w:rPr>
                <w:i/>
                <w:snapToGrid w:val="0"/>
              </w:rPr>
              <w:t xml:space="preserve"> 77,-</w:t>
            </w:r>
          </w:p>
        </w:tc>
      </w:tr>
      <w:tr w:rsidR="00D90D55">
        <w:trPr>
          <w:trHeight w:val="142"/>
        </w:trPr>
        <w:tc>
          <w:tcPr>
            <w:tcW w:w="992" w:type="dxa"/>
            <w:vAlign w:val="center"/>
          </w:tcPr>
          <w:p w:rsidR="00D90D55" w:rsidRDefault="00D90D55" w:rsidP="00215EFD">
            <w:pPr>
              <w:numPr>
                <w:ilvl w:val="0"/>
                <w:numId w:val="28"/>
              </w:numPr>
              <w:tabs>
                <w:tab w:val="center" w:pos="567"/>
              </w:tabs>
              <w:ind w:right="-30"/>
              <w:jc w:val="center"/>
            </w:pPr>
          </w:p>
        </w:tc>
        <w:tc>
          <w:tcPr>
            <w:tcW w:w="4820" w:type="dxa"/>
          </w:tcPr>
          <w:p w:rsidR="00D90D55" w:rsidRDefault="00D90D55" w:rsidP="0082158A">
            <w:pPr>
              <w:ind w:left="57" w:right="57"/>
              <w:jc w:val="both"/>
              <w:rPr>
                <w:snapToGrid w:val="0"/>
              </w:rPr>
            </w:pPr>
            <w:r w:rsidRPr="00A23DF4">
              <w:rPr>
                <w:snapToGrid w:val="0"/>
              </w:rPr>
              <w:t>Nájem prostoru pro umístění lišty Nájemce v</w:t>
            </w:r>
            <w:r>
              <w:rPr>
                <w:snapToGrid w:val="0"/>
              </w:rPr>
              <w:t> </w:t>
            </w:r>
            <w:r w:rsidRPr="00A23DF4">
              <w:rPr>
                <w:snapToGrid w:val="0"/>
              </w:rPr>
              <w:t>budově</w:t>
            </w:r>
          </w:p>
          <w:p w:rsidR="00D90D55" w:rsidRPr="00A23DF4" w:rsidRDefault="00EF68A4" w:rsidP="0082158A">
            <w:pPr>
              <w:ind w:left="57" w:right="57"/>
              <w:jc w:val="both"/>
              <w:rPr>
                <w:snapToGrid w:val="0"/>
              </w:rPr>
            </w:pPr>
            <w:r>
              <w:rPr>
                <w:snapToGrid w:val="0"/>
              </w:rPr>
              <w:t>–</w:t>
            </w:r>
            <w:r w:rsidR="00D90D55">
              <w:rPr>
                <w:snapToGrid w:val="0"/>
              </w:rPr>
              <w:t xml:space="preserve"> běžný metr lišty</w:t>
            </w:r>
          </w:p>
        </w:tc>
        <w:tc>
          <w:tcPr>
            <w:tcW w:w="3402" w:type="dxa"/>
            <w:vAlign w:val="center"/>
          </w:tcPr>
          <w:p w:rsidR="00D90D55" w:rsidRPr="0082158A" w:rsidRDefault="00912D3C" w:rsidP="00316522">
            <w:pPr>
              <w:jc w:val="center"/>
              <w:rPr>
                <w:i/>
                <w:snapToGrid w:val="0"/>
              </w:rPr>
            </w:pPr>
            <w:r>
              <w:rPr>
                <w:i/>
                <w:snapToGrid w:val="0"/>
              </w:rPr>
              <w:t xml:space="preserve"> 41,-</w:t>
            </w:r>
          </w:p>
        </w:tc>
      </w:tr>
      <w:tr w:rsidR="00D90D55">
        <w:trPr>
          <w:trHeight w:val="142"/>
        </w:trPr>
        <w:tc>
          <w:tcPr>
            <w:tcW w:w="992" w:type="dxa"/>
            <w:vAlign w:val="center"/>
          </w:tcPr>
          <w:p w:rsidR="00D90D55" w:rsidRDefault="00D90D55" w:rsidP="00215EFD">
            <w:pPr>
              <w:numPr>
                <w:ilvl w:val="0"/>
                <w:numId w:val="28"/>
              </w:numPr>
              <w:tabs>
                <w:tab w:val="center" w:pos="567"/>
              </w:tabs>
              <w:ind w:right="-30"/>
              <w:jc w:val="center"/>
            </w:pPr>
          </w:p>
        </w:tc>
        <w:tc>
          <w:tcPr>
            <w:tcW w:w="4820" w:type="dxa"/>
          </w:tcPr>
          <w:p w:rsidR="00D90D55" w:rsidRDefault="00D90D55" w:rsidP="0082158A">
            <w:pPr>
              <w:ind w:left="57" w:right="57"/>
              <w:jc w:val="both"/>
              <w:rPr>
                <w:snapToGrid w:val="0"/>
              </w:rPr>
            </w:pPr>
            <w:r w:rsidRPr="00A23DF4">
              <w:rPr>
                <w:snapToGrid w:val="0"/>
              </w:rPr>
              <w:t xml:space="preserve">Nájem prostoru v kabelovém roštu nebo liště </w:t>
            </w:r>
            <w:r>
              <w:rPr>
                <w:snapToGrid w:val="0"/>
              </w:rPr>
              <w:t>účastníka</w:t>
            </w:r>
            <w:r w:rsidR="00862D3B">
              <w:rPr>
                <w:snapToGrid w:val="0"/>
              </w:rPr>
              <w:t xml:space="preserve"> řízení</w:t>
            </w:r>
            <w:r w:rsidRPr="00A23DF4">
              <w:rPr>
                <w:snapToGrid w:val="0"/>
              </w:rPr>
              <w:t xml:space="preserve"> v</w:t>
            </w:r>
            <w:r>
              <w:rPr>
                <w:snapToGrid w:val="0"/>
              </w:rPr>
              <w:t> </w:t>
            </w:r>
            <w:r w:rsidRPr="00A23DF4">
              <w:rPr>
                <w:snapToGrid w:val="0"/>
              </w:rPr>
              <w:t>budově</w:t>
            </w:r>
          </w:p>
          <w:p w:rsidR="00D90D55" w:rsidRPr="00F315FA" w:rsidRDefault="00EF68A4" w:rsidP="0082158A">
            <w:pPr>
              <w:ind w:left="57" w:right="57"/>
              <w:jc w:val="both"/>
              <w:rPr>
                <w:snapToGrid w:val="0"/>
              </w:rPr>
            </w:pPr>
            <w:r>
              <w:rPr>
                <w:snapToGrid w:val="0"/>
              </w:rPr>
              <w:t>–</w:t>
            </w:r>
            <w:r w:rsidR="00D90D55">
              <w:rPr>
                <w:snapToGrid w:val="0"/>
              </w:rPr>
              <w:t xml:space="preserve"> běžný metr pokládky jednoho kabelu v kabelovém </w:t>
            </w:r>
            <w:r w:rsidR="00D90D55" w:rsidRPr="00F315FA">
              <w:rPr>
                <w:snapToGrid w:val="0"/>
              </w:rPr>
              <w:t>roštu nebo liště</w:t>
            </w:r>
          </w:p>
        </w:tc>
        <w:tc>
          <w:tcPr>
            <w:tcW w:w="3402" w:type="dxa"/>
            <w:vAlign w:val="center"/>
          </w:tcPr>
          <w:p w:rsidR="00D90D55" w:rsidRPr="0082158A" w:rsidRDefault="00912D3C" w:rsidP="00A6357D">
            <w:pPr>
              <w:jc w:val="center"/>
              <w:rPr>
                <w:i/>
                <w:snapToGrid w:val="0"/>
              </w:rPr>
            </w:pPr>
            <w:r>
              <w:rPr>
                <w:i/>
                <w:snapToGrid w:val="0"/>
              </w:rPr>
              <w:t xml:space="preserve"> </w:t>
            </w:r>
            <w:r w:rsidR="00A6357D">
              <w:rPr>
                <w:i/>
                <w:snapToGrid w:val="0"/>
              </w:rPr>
              <w:t>8</w:t>
            </w:r>
            <w:r>
              <w:rPr>
                <w:i/>
                <w:snapToGrid w:val="0"/>
              </w:rPr>
              <w:t>,-</w:t>
            </w:r>
          </w:p>
        </w:tc>
      </w:tr>
      <w:tr w:rsidR="00D90D55">
        <w:trPr>
          <w:trHeight w:val="142"/>
        </w:trPr>
        <w:tc>
          <w:tcPr>
            <w:tcW w:w="992" w:type="dxa"/>
            <w:vAlign w:val="center"/>
          </w:tcPr>
          <w:p w:rsidR="00D90D55" w:rsidRDefault="00D90D55" w:rsidP="00215EFD">
            <w:pPr>
              <w:numPr>
                <w:ilvl w:val="0"/>
                <w:numId w:val="28"/>
              </w:numPr>
              <w:tabs>
                <w:tab w:val="center" w:pos="567"/>
              </w:tabs>
              <w:ind w:right="-30"/>
              <w:jc w:val="center"/>
            </w:pPr>
          </w:p>
        </w:tc>
        <w:tc>
          <w:tcPr>
            <w:tcW w:w="4820" w:type="dxa"/>
          </w:tcPr>
          <w:p w:rsidR="00D90D55" w:rsidRPr="00F315FA" w:rsidRDefault="00D90D55" w:rsidP="0082158A">
            <w:pPr>
              <w:ind w:left="57" w:right="57"/>
              <w:jc w:val="both"/>
              <w:rPr>
                <w:snapToGrid w:val="0"/>
                <w:vertAlign w:val="superscript"/>
              </w:rPr>
            </w:pPr>
            <w:r w:rsidRPr="00A23DF4">
              <w:rPr>
                <w:snapToGrid w:val="0"/>
              </w:rPr>
              <w:t xml:space="preserve">Nájem prostoru pro umístění antény na střeše </w:t>
            </w:r>
          </w:p>
        </w:tc>
        <w:tc>
          <w:tcPr>
            <w:tcW w:w="3402" w:type="dxa"/>
            <w:vAlign w:val="center"/>
          </w:tcPr>
          <w:p w:rsidR="00D90D55" w:rsidRPr="0082158A" w:rsidRDefault="00912D3C" w:rsidP="00A6357D">
            <w:pPr>
              <w:jc w:val="center"/>
              <w:rPr>
                <w:i/>
                <w:snapToGrid w:val="0"/>
              </w:rPr>
            </w:pPr>
            <w:r>
              <w:rPr>
                <w:i/>
                <w:snapToGrid w:val="0"/>
              </w:rPr>
              <w:t xml:space="preserve"> 1 9</w:t>
            </w:r>
            <w:r w:rsidR="00A6357D">
              <w:rPr>
                <w:i/>
                <w:snapToGrid w:val="0"/>
              </w:rPr>
              <w:t>35</w:t>
            </w:r>
            <w:r>
              <w:rPr>
                <w:i/>
                <w:snapToGrid w:val="0"/>
              </w:rPr>
              <w:t>,-</w:t>
            </w:r>
          </w:p>
        </w:tc>
      </w:tr>
      <w:tr w:rsidR="00D90D55">
        <w:trPr>
          <w:trHeight w:val="142"/>
        </w:trPr>
        <w:tc>
          <w:tcPr>
            <w:tcW w:w="992" w:type="dxa"/>
            <w:vAlign w:val="center"/>
          </w:tcPr>
          <w:p w:rsidR="00D90D55" w:rsidRDefault="00D90D55" w:rsidP="00215EFD">
            <w:pPr>
              <w:numPr>
                <w:ilvl w:val="0"/>
                <w:numId w:val="28"/>
              </w:numPr>
              <w:tabs>
                <w:tab w:val="center" w:pos="567"/>
              </w:tabs>
              <w:ind w:right="-30"/>
              <w:jc w:val="center"/>
            </w:pPr>
          </w:p>
        </w:tc>
        <w:tc>
          <w:tcPr>
            <w:tcW w:w="4820" w:type="dxa"/>
          </w:tcPr>
          <w:p w:rsidR="00D90D55" w:rsidRDefault="00D90D55" w:rsidP="0082158A">
            <w:pPr>
              <w:ind w:left="57" w:right="57"/>
              <w:jc w:val="both"/>
              <w:rPr>
                <w:snapToGrid w:val="0"/>
              </w:rPr>
            </w:pPr>
            <w:r w:rsidRPr="00A23DF4">
              <w:rPr>
                <w:snapToGrid w:val="0"/>
              </w:rPr>
              <w:t>Nájem prostupu do budovy</w:t>
            </w:r>
          </w:p>
          <w:p w:rsidR="00D90D55" w:rsidRPr="00F315FA" w:rsidRDefault="00EF68A4" w:rsidP="0082158A">
            <w:pPr>
              <w:ind w:left="57" w:right="57"/>
              <w:jc w:val="both"/>
              <w:rPr>
                <w:snapToGrid w:val="0"/>
              </w:rPr>
            </w:pPr>
            <w:r>
              <w:rPr>
                <w:snapToGrid w:val="0"/>
              </w:rPr>
              <w:t>–</w:t>
            </w:r>
            <w:r w:rsidR="00D90D55">
              <w:rPr>
                <w:snapToGrid w:val="0"/>
              </w:rPr>
              <w:t xml:space="preserve"> </w:t>
            </w:r>
            <w:r w:rsidR="00D90D55" w:rsidRPr="00F315FA">
              <w:rPr>
                <w:snapToGrid w:val="0"/>
              </w:rPr>
              <w:t>běžný metr pokládky jednoho kabelu v</w:t>
            </w:r>
            <w:r w:rsidR="0082158A">
              <w:rPr>
                <w:snapToGrid w:val="0"/>
              </w:rPr>
              <w:t> </w:t>
            </w:r>
            <w:r w:rsidR="00D90D55" w:rsidRPr="00F315FA">
              <w:rPr>
                <w:snapToGrid w:val="0"/>
              </w:rPr>
              <w:t>kabelovém roštu nebo liště</w:t>
            </w:r>
          </w:p>
        </w:tc>
        <w:tc>
          <w:tcPr>
            <w:tcW w:w="3402" w:type="dxa"/>
            <w:vAlign w:val="center"/>
          </w:tcPr>
          <w:p w:rsidR="00D90D55" w:rsidRPr="0082158A" w:rsidRDefault="00912D3C" w:rsidP="00A6357D">
            <w:pPr>
              <w:jc w:val="center"/>
              <w:rPr>
                <w:i/>
                <w:snapToGrid w:val="0"/>
              </w:rPr>
            </w:pPr>
            <w:r>
              <w:rPr>
                <w:i/>
                <w:snapToGrid w:val="0"/>
              </w:rPr>
              <w:t xml:space="preserve"> </w:t>
            </w:r>
            <w:r w:rsidR="00A6357D">
              <w:rPr>
                <w:i/>
                <w:snapToGrid w:val="0"/>
              </w:rPr>
              <w:t>8</w:t>
            </w:r>
            <w:r>
              <w:rPr>
                <w:i/>
                <w:snapToGrid w:val="0"/>
              </w:rPr>
              <w:t>,-</w:t>
            </w:r>
          </w:p>
        </w:tc>
      </w:tr>
      <w:tr w:rsidR="00D90D55">
        <w:trPr>
          <w:trHeight w:val="142"/>
        </w:trPr>
        <w:tc>
          <w:tcPr>
            <w:tcW w:w="992" w:type="dxa"/>
            <w:vAlign w:val="center"/>
          </w:tcPr>
          <w:p w:rsidR="00D90D55" w:rsidRDefault="00D90D55" w:rsidP="00215EFD">
            <w:pPr>
              <w:numPr>
                <w:ilvl w:val="0"/>
                <w:numId w:val="28"/>
              </w:numPr>
              <w:tabs>
                <w:tab w:val="center" w:pos="567"/>
              </w:tabs>
              <w:ind w:right="-30"/>
              <w:jc w:val="center"/>
            </w:pPr>
          </w:p>
        </w:tc>
        <w:tc>
          <w:tcPr>
            <w:tcW w:w="4820" w:type="dxa"/>
          </w:tcPr>
          <w:p w:rsidR="00D90D55" w:rsidRDefault="00D90D55" w:rsidP="0082158A">
            <w:pPr>
              <w:ind w:left="57" w:right="57"/>
              <w:jc w:val="both"/>
              <w:rPr>
                <w:snapToGrid w:val="0"/>
              </w:rPr>
            </w:pPr>
            <w:r w:rsidRPr="00A23DF4">
              <w:rPr>
                <w:snapToGrid w:val="0"/>
              </w:rPr>
              <w:t xml:space="preserve">Nájem prostoru pro vybudování </w:t>
            </w:r>
            <w:r>
              <w:rPr>
                <w:snapToGrid w:val="0"/>
              </w:rPr>
              <w:t>prostupu do budovy z pozemku účastníka</w:t>
            </w:r>
            <w:r w:rsidRPr="00A23DF4">
              <w:rPr>
                <w:snapToGrid w:val="0"/>
              </w:rPr>
              <w:t xml:space="preserve"> </w:t>
            </w:r>
            <w:r w:rsidR="00862D3B">
              <w:rPr>
                <w:snapToGrid w:val="0"/>
              </w:rPr>
              <w:t xml:space="preserve">řízení </w:t>
            </w:r>
            <w:r w:rsidRPr="00A23DF4">
              <w:rPr>
                <w:snapToGrid w:val="0"/>
              </w:rPr>
              <w:t>mimo budovu do kabelovny v</w:t>
            </w:r>
            <w:r>
              <w:rPr>
                <w:snapToGrid w:val="0"/>
              </w:rPr>
              <w:t> </w:t>
            </w:r>
            <w:r w:rsidRPr="00A23DF4">
              <w:rPr>
                <w:snapToGrid w:val="0"/>
              </w:rPr>
              <w:t>budově</w:t>
            </w:r>
          </w:p>
          <w:p w:rsidR="00D90D55" w:rsidRPr="00A23DF4" w:rsidRDefault="00EF68A4" w:rsidP="0082158A">
            <w:pPr>
              <w:ind w:left="57" w:right="57"/>
              <w:jc w:val="both"/>
              <w:rPr>
                <w:snapToGrid w:val="0"/>
              </w:rPr>
            </w:pPr>
            <w:r>
              <w:rPr>
                <w:snapToGrid w:val="0"/>
              </w:rPr>
              <w:t>–</w:t>
            </w:r>
            <w:r w:rsidR="00D90D55">
              <w:rPr>
                <w:snapToGrid w:val="0"/>
              </w:rPr>
              <w:t xml:space="preserve"> běžný metr kabelové trasy</w:t>
            </w:r>
          </w:p>
        </w:tc>
        <w:tc>
          <w:tcPr>
            <w:tcW w:w="3402" w:type="dxa"/>
            <w:vAlign w:val="center"/>
          </w:tcPr>
          <w:p w:rsidR="00D90D55" w:rsidRPr="0082158A" w:rsidRDefault="00912D3C" w:rsidP="00316522">
            <w:pPr>
              <w:jc w:val="center"/>
              <w:rPr>
                <w:i/>
                <w:snapToGrid w:val="0"/>
              </w:rPr>
            </w:pPr>
            <w:r>
              <w:rPr>
                <w:i/>
                <w:snapToGrid w:val="0"/>
              </w:rPr>
              <w:t xml:space="preserve"> 77,-</w:t>
            </w:r>
          </w:p>
        </w:tc>
      </w:tr>
      <w:tr w:rsidR="00D90D55" w:rsidRPr="00BC1077">
        <w:trPr>
          <w:trHeight w:val="142"/>
        </w:trPr>
        <w:tc>
          <w:tcPr>
            <w:tcW w:w="992" w:type="dxa"/>
            <w:vAlign w:val="center"/>
          </w:tcPr>
          <w:p w:rsidR="00D90D55" w:rsidRPr="00BC1077" w:rsidRDefault="00D90D55" w:rsidP="00215EFD">
            <w:pPr>
              <w:numPr>
                <w:ilvl w:val="0"/>
                <w:numId w:val="28"/>
              </w:numPr>
              <w:tabs>
                <w:tab w:val="center" w:pos="567"/>
              </w:tabs>
              <w:ind w:right="-30"/>
              <w:jc w:val="center"/>
            </w:pPr>
          </w:p>
        </w:tc>
        <w:tc>
          <w:tcPr>
            <w:tcW w:w="4820" w:type="dxa"/>
          </w:tcPr>
          <w:p w:rsidR="00D90D55" w:rsidRPr="00BC1077" w:rsidRDefault="00D90D55" w:rsidP="0082158A">
            <w:pPr>
              <w:ind w:left="57" w:right="57"/>
              <w:jc w:val="both"/>
              <w:rPr>
                <w:snapToGrid w:val="0"/>
              </w:rPr>
            </w:pPr>
            <w:r w:rsidRPr="00BC1077">
              <w:rPr>
                <w:snapToGrid w:val="0"/>
              </w:rPr>
              <w:t>Nájem prostoru pro umístění kabelu nájemce na pozemku</w:t>
            </w:r>
            <w:r w:rsidR="00862D3B" w:rsidRPr="00BC1077">
              <w:rPr>
                <w:snapToGrid w:val="0"/>
              </w:rPr>
              <w:t xml:space="preserve">, </w:t>
            </w:r>
            <w:r w:rsidR="009E7220" w:rsidRPr="00BC1077">
              <w:rPr>
                <w:snapToGrid w:val="0"/>
              </w:rPr>
              <w:t xml:space="preserve">v </w:t>
            </w:r>
            <w:r w:rsidR="00862D3B" w:rsidRPr="00BC1077">
              <w:rPr>
                <w:snapToGrid w:val="0"/>
              </w:rPr>
              <w:t>kabelovodu nebo kolektoru</w:t>
            </w:r>
            <w:r w:rsidRPr="00BC1077">
              <w:rPr>
                <w:snapToGrid w:val="0"/>
              </w:rPr>
              <w:t xml:space="preserve"> účastníka</w:t>
            </w:r>
            <w:r w:rsidR="00862D3B" w:rsidRPr="00BC1077">
              <w:rPr>
                <w:snapToGrid w:val="0"/>
              </w:rPr>
              <w:t xml:space="preserve"> řízení</w:t>
            </w:r>
            <w:r w:rsidRPr="00BC1077">
              <w:rPr>
                <w:snapToGrid w:val="0"/>
              </w:rPr>
              <w:t xml:space="preserve"> mimo budovu </w:t>
            </w:r>
          </w:p>
          <w:p w:rsidR="007057B5" w:rsidRPr="00BC1077" w:rsidRDefault="007057B5" w:rsidP="0052700A">
            <w:pPr>
              <w:ind w:left="57" w:right="57"/>
              <w:jc w:val="both"/>
              <w:rPr>
                <w:snapToGrid w:val="0"/>
              </w:rPr>
            </w:pPr>
            <w:r w:rsidRPr="00BC1077">
              <w:rPr>
                <w:snapToGrid w:val="0"/>
              </w:rPr>
              <w:t>– běžný metr kabelové trasy</w:t>
            </w:r>
          </w:p>
        </w:tc>
        <w:tc>
          <w:tcPr>
            <w:tcW w:w="3402" w:type="dxa"/>
            <w:vAlign w:val="center"/>
          </w:tcPr>
          <w:p w:rsidR="00D90D55" w:rsidRPr="00BC1077" w:rsidRDefault="00912D3C" w:rsidP="00A6357D">
            <w:pPr>
              <w:jc w:val="center"/>
              <w:rPr>
                <w:i/>
                <w:snapToGrid w:val="0"/>
              </w:rPr>
            </w:pPr>
            <w:r>
              <w:rPr>
                <w:i/>
                <w:snapToGrid w:val="0"/>
              </w:rPr>
              <w:t xml:space="preserve"> </w:t>
            </w:r>
            <w:r w:rsidR="00A6357D">
              <w:rPr>
                <w:i/>
                <w:snapToGrid w:val="0"/>
              </w:rPr>
              <w:t>8</w:t>
            </w:r>
            <w:r>
              <w:rPr>
                <w:i/>
                <w:snapToGrid w:val="0"/>
              </w:rPr>
              <w:t>,-</w:t>
            </w:r>
          </w:p>
        </w:tc>
      </w:tr>
    </w:tbl>
    <w:p w:rsidR="000B3008" w:rsidRDefault="0098664A" w:rsidP="00287DAB">
      <w:pPr>
        <w:spacing w:before="120"/>
        <w:ind w:firstLine="709"/>
        <w:jc w:val="both"/>
      </w:pPr>
      <w:r w:rsidRPr="00D53F69">
        <w:t>(</w:t>
      </w:r>
      <w:r w:rsidRPr="00A27C6F">
        <w:t>2</w:t>
      </w:r>
      <w:r w:rsidR="009D39C4" w:rsidRPr="00A27C6F">
        <w:t>)</w:t>
      </w:r>
      <w:r w:rsidR="00D85692" w:rsidRPr="00A27C6F">
        <w:t xml:space="preserve"> </w:t>
      </w:r>
      <w:r w:rsidR="00E869C6">
        <w:t>c</w:t>
      </w:r>
      <w:r w:rsidR="0024138D" w:rsidRPr="00A27C6F">
        <w:t xml:space="preserve">eny </w:t>
      </w:r>
      <w:r w:rsidR="00D85692" w:rsidRPr="00A27C6F">
        <w:t xml:space="preserve">za poskytnutí služeb </w:t>
      </w:r>
      <w:r w:rsidR="00E44C41" w:rsidRPr="00A27C6F">
        <w:t>přístupu k</w:t>
      </w:r>
      <w:r w:rsidR="0052700A">
        <w:t> přiřazeným prostředkům</w:t>
      </w:r>
      <w:r w:rsidR="00D3179D" w:rsidRPr="00A27C6F">
        <w:t xml:space="preserve"> </w:t>
      </w:r>
      <w:r w:rsidR="001A69E1">
        <w:t>byly</w:t>
      </w:r>
      <w:r w:rsidR="0038069A">
        <w:t xml:space="preserve"> </w:t>
      </w:r>
      <w:r w:rsidR="00E44C41" w:rsidRPr="00A27C6F">
        <w:rPr>
          <w:rFonts w:cs="Arial"/>
        </w:rPr>
        <w:t>stanoveny na základě zásady nákladové orientace</w:t>
      </w:r>
      <w:r w:rsidR="00B2120F" w:rsidRPr="00A27C6F">
        <w:rPr>
          <w:rFonts w:cs="Arial"/>
        </w:rPr>
        <w:t>.</w:t>
      </w:r>
      <w:r w:rsidR="00E44C41" w:rsidRPr="00A27C6F">
        <w:rPr>
          <w:rFonts w:cs="Arial"/>
        </w:rPr>
        <w:t xml:space="preserve"> </w:t>
      </w:r>
      <w:r w:rsidR="00B2120F" w:rsidRPr="00A27C6F">
        <w:rPr>
          <w:rFonts w:cs="Arial"/>
        </w:rPr>
        <w:t>K</w:t>
      </w:r>
      <w:r w:rsidR="00E44C41" w:rsidRPr="00A27C6F">
        <w:rPr>
          <w:rFonts w:cs="Arial"/>
        </w:rPr>
        <w:t>alkulace ceny zahrn</w:t>
      </w:r>
      <w:r w:rsidR="000016D6">
        <w:rPr>
          <w:rFonts w:cs="Arial"/>
        </w:rPr>
        <w:t>uje</w:t>
      </w:r>
      <w:r w:rsidR="00E44C41" w:rsidRPr="00A27C6F">
        <w:rPr>
          <w:rFonts w:cs="Arial"/>
        </w:rPr>
        <w:t xml:space="preserve"> efektivně a účelně vynaložené náklady a přiměřený </w:t>
      </w:r>
      <w:r w:rsidR="00E44C41" w:rsidRPr="00287DAB">
        <w:rPr>
          <w:rFonts w:cs="Arial"/>
        </w:rPr>
        <w:t>zisk.</w:t>
      </w:r>
      <w:r w:rsidR="00B8257D" w:rsidRPr="00287DAB">
        <w:rPr>
          <w:rFonts w:cs="Arial"/>
        </w:rPr>
        <w:t xml:space="preserve"> Nákladová orientace je </w:t>
      </w:r>
      <w:r w:rsidR="00B8257D" w:rsidRPr="00287DAB">
        <w:rPr>
          <w:rFonts w:cs="Arial"/>
        </w:rPr>
        <w:lastRenderedPageBreak/>
        <w:t>založena na metodice LRIC+.</w:t>
      </w:r>
      <w:r w:rsidR="001C2F24">
        <w:rPr>
          <w:rFonts w:cs="Arial"/>
        </w:rPr>
        <w:t xml:space="preserve"> Prvky inženýrských sítí jsou oceněny běžnými náklady.</w:t>
      </w:r>
      <w:r w:rsidR="00E44C41" w:rsidRPr="00A27C6F">
        <w:rPr>
          <w:rFonts w:cs="Arial"/>
        </w:rPr>
        <w:t xml:space="preserve"> </w:t>
      </w:r>
      <w:r w:rsidR="001C2F24">
        <w:rPr>
          <w:rFonts w:cs="Arial"/>
        </w:rPr>
        <w:t>O</w:t>
      </w:r>
      <w:r w:rsidR="009B3961" w:rsidRPr="00A27C6F">
        <w:t>pakovaně použiteln</w:t>
      </w:r>
      <w:r w:rsidR="001C2F24">
        <w:t>é</w:t>
      </w:r>
      <w:r w:rsidR="009B3961" w:rsidRPr="00A27C6F">
        <w:t xml:space="preserve"> </w:t>
      </w:r>
      <w:r w:rsidR="00EF4343" w:rsidRPr="00A27C6F">
        <w:t xml:space="preserve">již existující </w:t>
      </w:r>
      <w:r w:rsidR="009B3961" w:rsidRPr="00A27C6F">
        <w:t>starší pasivní prvk</w:t>
      </w:r>
      <w:r w:rsidR="001C2F24">
        <w:t>y</w:t>
      </w:r>
      <w:r w:rsidR="009B3961" w:rsidRPr="00A27C6F">
        <w:t xml:space="preserve"> inženýrských sítí </w:t>
      </w:r>
      <w:r w:rsidR="009B3961" w:rsidRPr="00B874C2">
        <w:t>(jako jsou kabelovody, ochranné HDPE trubky</w:t>
      </w:r>
      <w:r w:rsidR="0005189E" w:rsidRPr="00B874C2">
        <w:t xml:space="preserve"> a</w:t>
      </w:r>
      <w:r w:rsidR="009B3961" w:rsidRPr="00B874C2">
        <w:t xml:space="preserve"> výkopy)</w:t>
      </w:r>
      <w:r w:rsidR="009B3961" w:rsidRPr="00A27C6F">
        <w:t xml:space="preserve"> </w:t>
      </w:r>
      <w:r w:rsidR="000016D6">
        <w:t>jsou</w:t>
      </w:r>
      <w:r w:rsidR="000016D6" w:rsidRPr="00A27C6F">
        <w:t xml:space="preserve"> </w:t>
      </w:r>
      <w:r w:rsidR="009B3961" w:rsidRPr="00A27C6F">
        <w:t>oceněn</w:t>
      </w:r>
      <w:r w:rsidR="001C2F24">
        <w:t>y</w:t>
      </w:r>
      <w:r w:rsidR="009B3961" w:rsidRPr="00A27C6F">
        <w:t xml:space="preserve"> běžnými náklady, zohledňujícími uplynulou ekonomickou životnost aktiv. Počáteční hodnota</w:t>
      </w:r>
      <w:r w:rsidR="00D944C2" w:rsidRPr="00A27C6F">
        <w:t xml:space="preserve"> těchto starších</w:t>
      </w:r>
      <w:r w:rsidR="009B3961" w:rsidRPr="00A27C6F">
        <w:t xml:space="preserve"> aktiv </w:t>
      </w:r>
      <w:r w:rsidR="000016D6">
        <w:t>je</w:t>
      </w:r>
      <w:r w:rsidR="000016D6" w:rsidRPr="00A27C6F">
        <w:t xml:space="preserve"> </w:t>
      </w:r>
      <w:r w:rsidR="009B3961" w:rsidRPr="00A27C6F">
        <w:t>oceněna účetní hodnotou sníženou o</w:t>
      </w:r>
      <w:r w:rsidR="00E51550">
        <w:t> </w:t>
      </w:r>
      <w:r w:rsidR="009B3961" w:rsidRPr="00A27C6F">
        <w:t xml:space="preserve">oprávky k okamžiku výpočtu </w:t>
      </w:r>
      <w:r w:rsidR="00D944C2" w:rsidRPr="00A27C6F">
        <w:t xml:space="preserve">ceny, která </w:t>
      </w:r>
      <w:r w:rsidR="000B3008">
        <w:t>je</w:t>
      </w:r>
      <w:r w:rsidR="00D944C2" w:rsidRPr="00A27C6F">
        <w:t xml:space="preserve"> </w:t>
      </w:r>
      <w:r w:rsidR="000B3008">
        <w:t>navýšena</w:t>
      </w:r>
      <w:r w:rsidR="009B3961" w:rsidRPr="00A27C6F">
        <w:t xml:space="preserve"> odpovídajícím cenovým indexem</w:t>
      </w:r>
      <w:r w:rsidR="000B3008">
        <w:t xml:space="preserve"> za dobu od pořízení aktiva do výpočtu jeho ceny</w:t>
      </w:r>
      <w:r w:rsidR="00D944C2" w:rsidRPr="00A27C6F">
        <w:t>.</w:t>
      </w:r>
      <w:r w:rsidR="000B3008" w:rsidRPr="000B3008">
        <w:t xml:space="preserve"> </w:t>
      </w:r>
      <w:r w:rsidR="000B3008">
        <w:t>P</w:t>
      </w:r>
      <w:r w:rsidR="000B3008" w:rsidRPr="00A27C6F">
        <w:t>lně odepsané</w:t>
      </w:r>
      <w:r w:rsidR="00D944C2" w:rsidRPr="00A27C6F">
        <w:t xml:space="preserve"> </w:t>
      </w:r>
      <w:r w:rsidR="000B3008">
        <w:t>p</w:t>
      </w:r>
      <w:r w:rsidR="00D944C2" w:rsidRPr="00A27C6F">
        <w:t xml:space="preserve">rvky inženýrských sítí již </w:t>
      </w:r>
      <w:r w:rsidR="000016D6">
        <w:t>ne</w:t>
      </w:r>
      <w:r w:rsidR="00D944C2" w:rsidRPr="00A27C6F">
        <w:t>tvoř</w:t>
      </w:r>
      <w:r w:rsidR="000016D6">
        <w:t>í</w:t>
      </w:r>
      <w:r w:rsidR="00D944C2" w:rsidRPr="00A27C6F">
        <w:t xml:space="preserve"> součást počáteční regulační báze akti</w:t>
      </w:r>
      <w:r w:rsidR="00EF4343" w:rsidRPr="00A27C6F">
        <w:t>v.</w:t>
      </w:r>
      <w:r w:rsidR="00B874C2">
        <w:t xml:space="preserve"> Přiměřená výše</w:t>
      </w:r>
      <w:r w:rsidR="00E56616">
        <w:t xml:space="preserve"> zisk</w:t>
      </w:r>
      <w:r w:rsidR="00B874C2">
        <w:t>u</w:t>
      </w:r>
      <w:r w:rsidR="00E56616">
        <w:t xml:space="preserve"> je</w:t>
      </w:r>
      <w:r w:rsidR="00B874C2">
        <w:t xml:space="preserve"> určena procentem návratnosti vloženého kapitálu a je určena správním orgánem v opatření obecné povahy podle ustanovení § 86 odst. 3 Zákona.</w:t>
      </w:r>
    </w:p>
    <w:p w:rsidR="000F73F5" w:rsidRPr="00620EFC" w:rsidRDefault="000F73F5" w:rsidP="00A27C6F">
      <w:pPr>
        <w:pStyle w:val="Zkladntextodsazen"/>
        <w:keepNext/>
        <w:spacing w:before="360" w:after="240"/>
        <w:ind w:firstLine="0"/>
        <w:jc w:val="center"/>
        <w:outlineLvl w:val="0"/>
        <w:rPr>
          <w:b/>
          <w:sz w:val="22"/>
        </w:rPr>
      </w:pPr>
      <w:r w:rsidRPr="00620EFC">
        <w:rPr>
          <w:b/>
          <w:sz w:val="22"/>
        </w:rPr>
        <w:t>II.</w:t>
      </w:r>
    </w:p>
    <w:p w:rsidR="000B3008" w:rsidRDefault="00574A08" w:rsidP="00287DAB">
      <w:pPr>
        <w:pStyle w:val="Odstavecseseznamem"/>
        <w:spacing w:after="120"/>
        <w:ind w:left="142" w:firstLine="567"/>
        <w:contextualSpacing w:val="0"/>
        <w:jc w:val="both"/>
        <w:outlineLvl w:val="0"/>
        <w:rPr>
          <w:rFonts w:cs="Arial"/>
        </w:rPr>
      </w:pPr>
      <w:r>
        <w:rPr>
          <w:rFonts w:cs="Arial"/>
        </w:rPr>
        <w:t xml:space="preserve">(1) </w:t>
      </w:r>
      <w:r w:rsidRPr="00574A08">
        <w:rPr>
          <w:rFonts w:cs="Arial"/>
        </w:rPr>
        <w:t>Pro nově uzavírané smluvní vztahy je po dobu účinnosti</w:t>
      </w:r>
      <w:r w:rsidR="00297488">
        <w:rPr>
          <w:rFonts w:cs="Arial"/>
        </w:rPr>
        <w:t xml:space="preserve"> bodu (1)</w:t>
      </w:r>
      <w:r w:rsidRPr="00574A08">
        <w:rPr>
          <w:rFonts w:cs="Arial"/>
        </w:rPr>
        <w:t xml:space="preserve"> části I. výroku tohoto rozhodnutí účastník řízení povinen sjednávat a uplatňovat ceny podle</w:t>
      </w:r>
      <w:r w:rsidR="00297488">
        <w:rPr>
          <w:rFonts w:cs="Arial"/>
        </w:rPr>
        <w:t xml:space="preserve"> bodu (1)</w:t>
      </w:r>
      <w:r w:rsidRPr="00574A08">
        <w:rPr>
          <w:rFonts w:cs="Arial"/>
        </w:rPr>
        <w:t xml:space="preserve"> části I. výroku tohoto rozhodnutí od nabytí právní moci tohoto rozhodnutí.</w:t>
      </w:r>
    </w:p>
    <w:p w:rsidR="000B3008" w:rsidRDefault="00297488" w:rsidP="00287DAB">
      <w:pPr>
        <w:pStyle w:val="Odstavecseseznamem"/>
        <w:spacing w:after="120"/>
        <w:ind w:left="142" w:firstLine="567"/>
        <w:contextualSpacing w:val="0"/>
        <w:jc w:val="both"/>
        <w:outlineLvl w:val="0"/>
        <w:rPr>
          <w:rFonts w:cs="Arial"/>
        </w:rPr>
      </w:pPr>
      <w:r>
        <w:rPr>
          <w:rFonts w:cs="Arial"/>
        </w:rPr>
        <w:t>(2) Pro stávající smluvní vztahy je po dobu účinnosti bodu (1) části I. výroku tohoto rozhodnutí účastník řízení povinen sjednat a uplatňovat ceny podle bodu (1) části I. výroku tohoto rozhodnutí nejpozději od prvního dne třetího měsíce následujícího po měsíci, ve kterém došlo k nabytí právní moci tohoto rozhodnutí.</w:t>
      </w:r>
    </w:p>
    <w:p w:rsidR="000B3008" w:rsidRDefault="00297488" w:rsidP="00287DAB">
      <w:pPr>
        <w:pStyle w:val="Odstavecseseznamem"/>
        <w:spacing w:after="120"/>
        <w:ind w:left="142" w:firstLine="567"/>
        <w:contextualSpacing w:val="0"/>
        <w:jc w:val="both"/>
        <w:outlineLvl w:val="0"/>
      </w:pPr>
      <w:r>
        <w:rPr>
          <w:rFonts w:cs="Arial"/>
        </w:rPr>
        <w:t xml:space="preserve">(3) </w:t>
      </w:r>
      <w:r w:rsidR="0064435C">
        <w:t>Účastník řízení je povinen sjednávat a uplatňovat c</w:t>
      </w:r>
      <w:r w:rsidR="0024138D" w:rsidRPr="00620EFC">
        <w:t xml:space="preserve">eny podle bodu </w:t>
      </w:r>
      <w:r w:rsidR="00C521F3">
        <w:t>(2)</w:t>
      </w:r>
      <w:r w:rsidR="0024138D" w:rsidRPr="00620EFC">
        <w:t xml:space="preserve"> části I. výroku </w:t>
      </w:r>
      <w:r w:rsidR="0064435C">
        <w:t xml:space="preserve">tohoto rozhodnutí ode dne určeného v rozhodnutí č. </w:t>
      </w:r>
      <w:r w:rsidR="0064435C" w:rsidRPr="00BD37D0">
        <w:t>REM/</w:t>
      </w:r>
      <w:r w:rsidR="00486135" w:rsidRPr="00BD37D0">
        <w:t>4</w:t>
      </w:r>
      <w:r w:rsidR="0064435C" w:rsidRPr="00BD37D0">
        <w:t>/XX.201</w:t>
      </w:r>
      <w:r w:rsidRPr="00BD37D0">
        <w:t>5</w:t>
      </w:r>
      <w:r w:rsidR="0064435C" w:rsidRPr="00BD37D0">
        <w:t>-X ke</w:t>
      </w:r>
      <w:r w:rsidR="0064435C">
        <w:t xml:space="preserve"> splnění povinnosti uveřejnit referenční nabídku</w:t>
      </w:r>
      <w:r w:rsidR="0024138D" w:rsidRPr="00620EFC">
        <w:t xml:space="preserve"> </w:t>
      </w:r>
      <w:r w:rsidR="0064435C">
        <w:t xml:space="preserve">přístupu </w:t>
      </w:r>
      <w:r w:rsidR="0064435C" w:rsidRPr="00486135">
        <w:t>k</w:t>
      </w:r>
      <w:r w:rsidR="0052700A">
        <w:t> přiřazeným prostředkům</w:t>
      </w:r>
      <w:r w:rsidR="00486135" w:rsidRPr="00486135">
        <w:t>.</w:t>
      </w:r>
      <w:r w:rsidR="0064435C" w:rsidRPr="00486135">
        <w:t xml:space="preserve"> </w:t>
      </w:r>
    </w:p>
    <w:p w:rsidR="00BF2564" w:rsidRDefault="00BF2564" w:rsidP="00297488">
      <w:pPr>
        <w:pStyle w:val="Zkladntextodsazen"/>
        <w:ind w:firstLine="709"/>
        <w:jc w:val="both"/>
        <w:rPr>
          <w:rFonts w:cs="Arial"/>
          <w:sz w:val="22"/>
        </w:rPr>
      </w:pPr>
      <w:r>
        <w:rPr>
          <w:rFonts w:cs="Arial"/>
          <w:sz w:val="22"/>
        </w:rPr>
        <w:t>(</w:t>
      </w:r>
      <w:r w:rsidR="00297488">
        <w:rPr>
          <w:rFonts w:cs="Arial"/>
          <w:sz w:val="22"/>
        </w:rPr>
        <w:t>4</w:t>
      </w:r>
      <w:r>
        <w:rPr>
          <w:rFonts w:cs="Arial"/>
          <w:sz w:val="22"/>
        </w:rPr>
        <w:t>) Účastník řízení je povinen doložit správnímu orgánu plnění povinnost</w:t>
      </w:r>
      <w:r w:rsidR="00297488">
        <w:rPr>
          <w:rFonts w:cs="Arial"/>
          <w:sz w:val="22"/>
        </w:rPr>
        <w:t>i</w:t>
      </w:r>
      <w:r>
        <w:rPr>
          <w:rFonts w:cs="Arial"/>
          <w:sz w:val="22"/>
        </w:rPr>
        <w:t xml:space="preserve"> podle bod</w:t>
      </w:r>
      <w:r w:rsidR="00297488">
        <w:rPr>
          <w:rFonts w:cs="Arial"/>
          <w:sz w:val="22"/>
        </w:rPr>
        <w:t>u</w:t>
      </w:r>
      <w:r>
        <w:rPr>
          <w:rFonts w:cs="Arial"/>
          <w:sz w:val="22"/>
        </w:rPr>
        <w:t xml:space="preserve"> (2) části I. výroku tohoto rozhodnutí nejpozději v</w:t>
      </w:r>
      <w:r w:rsidR="0058123D">
        <w:rPr>
          <w:rFonts w:cs="Arial"/>
          <w:sz w:val="22"/>
        </w:rPr>
        <w:t> </w:t>
      </w:r>
      <w:r>
        <w:rPr>
          <w:rFonts w:cs="Arial"/>
          <w:sz w:val="22"/>
        </w:rPr>
        <w:t>den</w:t>
      </w:r>
      <w:r w:rsidR="0058123D">
        <w:rPr>
          <w:rFonts w:cs="Arial"/>
          <w:sz w:val="22"/>
        </w:rPr>
        <w:t xml:space="preserve"> zveřejnění cen relevantních služeb v referenční nabídce.</w:t>
      </w:r>
    </w:p>
    <w:p w:rsidR="006D7F86" w:rsidRPr="0064435C" w:rsidRDefault="006D7F86" w:rsidP="00297488">
      <w:pPr>
        <w:pStyle w:val="HlavStyl"/>
        <w:keepNext/>
        <w:tabs>
          <w:tab w:val="center" w:pos="5954"/>
          <w:tab w:val="right" w:pos="9072"/>
        </w:tabs>
        <w:spacing w:before="360" w:after="240"/>
        <w:jc w:val="center"/>
        <w:rPr>
          <w:b/>
        </w:rPr>
      </w:pPr>
      <w:r w:rsidRPr="00620EFC">
        <w:rPr>
          <w:b/>
        </w:rPr>
        <w:t>II</w:t>
      </w:r>
      <w:r w:rsidRPr="0064435C">
        <w:rPr>
          <w:b/>
        </w:rPr>
        <w:t>I.</w:t>
      </w:r>
    </w:p>
    <w:p w:rsidR="006D7F86" w:rsidRPr="0064435C" w:rsidRDefault="006D7F86" w:rsidP="00A27C6F">
      <w:pPr>
        <w:ind w:firstLine="709"/>
        <w:jc w:val="both"/>
      </w:pPr>
      <w:r w:rsidRPr="0064435C">
        <w:t xml:space="preserve">Podle § 101 písm. e) a § 102 odst. 9 Správního řádu nabytím právní moci tohoto rozhodnutí pozbývají vykonatelnosti a jiných právních účinků rozhodnutí Rady Českého telekomunikačního úřadu ve věci uložení povinnosti podniku s významnou tržní silou na relevantním trhu </w:t>
      </w:r>
      <w:r w:rsidRPr="000C5F18">
        <w:rPr>
          <w:rFonts w:cs="Arial"/>
        </w:rPr>
        <w:t xml:space="preserve">„Velkoobchodní (fyzický) přístup k infrastruktuře sítě (včetně sdíleného nebo </w:t>
      </w:r>
      <w:r w:rsidRPr="000C5F18">
        <w:rPr>
          <w:rFonts w:cs="Arial"/>
        </w:rPr>
        <w:lastRenderedPageBreak/>
        <w:t xml:space="preserve">plného zpřístupnění účastnického vedení) v pevném místě“ </w:t>
      </w:r>
      <w:r w:rsidRPr="000C5F18">
        <w:t>č. CEN/4</w:t>
      </w:r>
      <w:r w:rsidRPr="00CD12CF">
        <w:t>/10.2010-</w:t>
      </w:r>
      <w:r w:rsidRPr="008B2460">
        <w:t>78, čj. 76 668/2010-611/IV.vyř. ze dne 12. října 2010, rozhodnutí č.</w:t>
      </w:r>
      <w:r w:rsidRPr="00A27C6F">
        <w:rPr>
          <w:rFonts w:cs="Arial"/>
        </w:rPr>
        <w:t xml:space="preserve"> </w:t>
      </w:r>
      <w:r w:rsidRPr="00620EFC">
        <w:t xml:space="preserve">CEN/4/06.2012-1, čj. ČTÚ-41 894/2012-611/IV.vyř. ze dne 21. června 2012 a rozhodnutí č. CEN/4/06.2013-3, čj. ČTÚ-17 </w:t>
      </w:r>
      <w:r w:rsidRPr="0064435C">
        <w:t>607/2013-611 ze dne 13. června 2013, kterými byly účastníku řízení uloženy povinnosti související s regulací cen podle výsledků analýzy relevantního trhu vydané opatřením obecné povahy Českého telekomunikačního úřadu č. A/4/05.2010-6.</w:t>
      </w:r>
    </w:p>
    <w:p w:rsidR="003F1BEC" w:rsidRDefault="003F1BEC" w:rsidP="00A27C6F">
      <w:pPr>
        <w:keepNext/>
        <w:spacing w:before="480" w:after="240"/>
        <w:jc w:val="center"/>
        <w:outlineLvl w:val="0"/>
        <w:rPr>
          <w:b/>
        </w:rPr>
      </w:pPr>
      <w:r>
        <w:rPr>
          <w:b/>
        </w:rPr>
        <w:t>Odůvodnění:</w:t>
      </w:r>
    </w:p>
    <w:p w:rsidR="00523750" w:rsidRPr="007C064C" w:rsidRDefault="00523750" w:rsidP="00C32177">
      <w:pPr>
        <w:spacing w:after="120"/>
        <w:ind w:firstLine="709"/>
        <w:jc w:val="both"/>
        <w:rPr>
          <w:rFonts w:cs="Arial"/>
        </w:rPr>
      </w:pPr>
      <w:r w:rsidRPr="006C0D1A">
        <w:rPr>
          <w:rFonts w:cs="Arial"/>
        </w:rPr>
        <w:t xml:space="preserve">Český telekomunikační úřad (dále jen „Úřad“) provedl v souladu s § 51 odst. </w:t>
      </w:r>
      <w:smartTag w:uri="urn:schemas-microsoft-com:office:smarttags" w:element="metricconverter">
        <w:smartTagPr>
          <w:attr w:name="ProductID" w:val="1 a"/>
        </w:smartTagPr>
        <w:r w:rsidRPr="006C0D1A">
          <w:rPr>
            <w:rFonts w:cs="Arial"/>
          </w:rPr>
          <w:t>1 a</w:t>
        </w:r>
      </w:smartTag>
      <w:r w:rsidRPr="006C0D1A">
        <w:rPr>
          <w:rFonts w:cs="Arial"/>
        </w:rPr>
        <w:t xml:space="preserve"> 2 Zákona analýzu trhu </w:t>
      </w:r>
      <w:r w:rsidRPr="007C064C">
        <w:rPr>
          <w:rFonts w:cs="Arial"/>
        </w:rPr>
        <w:t xml:space="preserve">č. 4 – </w:t>
      </w:r>
      <w:r w:rsidR="00721311">
        <w:rPr>
          <w:rFonts w:cs="Arial"/>
        </w:rPr>
        <w:t>„V</w:t>
      </w:r>
      <w:r w:rsidRPr="007C064C">
        <w:rPr>
          <w:rFonts w:cs="Arial"/>
        </w:rPr>
        <w:t>elkoobchodní (fyzický) přístup k infrastruktuře sítě (včetně sdíleného nebo plného zpřístupnění účastnického vedení) v pevném místě</w:t>
      </w:r>
      <w:r w:rsidR="00721311">
        <w:rPr>
          <w:rFonts w:cs="Arial"/>
        </w:rPr>
        <w:t>“</w:t>
      </w:r>
      <w:r w:rsidRPr="007C064C">
        <w:rPr>
          <w:rFonts w:cs="Arial"/>
        </w:rPr>
        <w:t xml:space="preserve"> (dále jen „trh č. 4“), kterou</w:t>
      </w:r>
      <w:r w:rsidR="006D7F86">
        <w:rPr>
          <w:rFonts w:cs="Arial"/>
        </w:rPr>
        <w:t xml:space="preserve"> zveřejnil na úřední desce dne </w:t>
      </w:r>
      <w:r w:rsidR="00485018" w:rsidRPr="00287DAB">
        <w:rPr>
          <w:rFonts w:cs="Arial"/>
        </w:rPr>
        <w:t>31</w:t>
      </w:r>
      <w:r w:rsidR="006D7F86" w:rsidRPr="00287DAB">
        <w:rPr>
          <w:rFonts w:cs="Arial"/>
        </w:rPr>
        <w:t>.</w:t>
      </w:r>
      <w:r w:rsidR="00721311" w:rsidRPr="00287DAB">
        <w:rPr>
          <w:rFonts w:cs="Arial"/>
        </w:rPr>
        <w:t xml:space="preserve"> </w:t>
      </w:r>
      <w:r w:rsidR="000B7BC7" w:rsidRPr="00287DAB">
        <w:rPr>
          <w:rFonts w:cs="Arial"/>
        </w:rPr>
        <w:t>října</w:t>
      </w:r>
      <w:r w:rsidR="006D7F86" w:rsidRPr="00E56616">
        <w:rPr>
          <w:rFonts w:cs="Arial"/>
        </w:rPr>
        <w:t xml:space="preserve"> </w:t>
      </w:r>
      <w:r w:rsidR="00F73675" w:rsidRPr="00E56616">
        <w:rPr>
          <w:rFonts w:cs="Arial"/>
        </w:rPr>
        <w:t>2014</w:t>
      </w:r>
      <w:r w:rsidR="007A6F64" w:rsidRPr="00E56616">
        <w:rPr>
          <w:rFonts w:cs="Arial"/>
        </w:rPr>
        <w:t xml:space="preserve"> a po oznámení Evropské komisi ji</w:t>
      </w:r>
      <w:r w:rsidRPr="00E56616">
        <w:rPr>
          <w:rFonts w:cs="Arial"/>
        </w:rPr>
        <w:t xml:space="preserve"> vydal</w:t>
      </w:r>
      <w:r w:rsidR="007A6F64" w:rsidRPr="00E56616">
        <w:rPr>
          <w:rFonts w:cs="Arial"/>
        </w:rPr>
        <w:t xml:space="preserve"> jako opatření obecné povahy č. </w:t>
      </w:r>
      <w:r w:rsidRPr="00287DAB">
        <w:rPr>
          <w:rFonts w:cs="Arial"/>
        </w:rPr>
        <w:t>A/4/</w:t>
      </w:r>
      <w:r w:rsidR="00485018" w:rsidRPr="00287DAB">
        <w:rPr>
          <w:rFonts w:cs="Arial"/>
        </w:rPr>
        <w:t>10</w:t>
      </w:r>
      <w:r w:rsidRPr="00287DAB">
        <w:rPr>
          <w:rFonts w:cs="Arial"/>
        </w:rPr>
        <w:t>.201</w:t>
      </w:r>
      <w:r w:rsidR="00AC17E8" w:rsidRPr="00287DAB">
        <w:rPr>
          <w:rFonts w:cs="Arial"/>
        </w:rPr>
        <w:t>4</w:t>
      </w:r>
      <w:r w:rsidRPr="00287DAB">
        <w:rPr>
          <w:rFonts w:cs="Arial"/>
        </w:rPr>
        <w:t>-</w:t>
      </w:r>
      <w:r w:rsidR="00485018" w:rsidRPr="00E56616">
        <w:rPr>
          <w:rFonts w:cs="Arial"/>
        </w:rPr>
        <w:t>8</w:t>
      </w:r>
      <w:r w:rsidR="007A6F64" w:rsidRPr="00E56616">
        <w:rPr>
          <w:rFonts w:cs="Arial"/>
        </w:rPr>
        <w:t xml:space="preserve"> ze dne </w:t>
      </w:r>
      <w:r w:rsidR="00485018" w:rsidRPr="00287DAB">
        <w:rPr>
          <w:rFonts w:cs="Arial"/>
        </w:rPr>
        <w:t>29</w:t>
      </w:r>
      <w:r w:rsidR="007A6F64" w:rsidRPr="00287DAB">
        <w:rPr>
          <w:rFonts w:cs="Arial"/>
        </w:rPr>
        <w:t>.</w:t>
      </w:r>
      <w:r w:rsidR="00721311" w:rsidRPr="00287DAB">
        <w:rPr>
          <w:rFonts w:cs="Arial"/>
        </w:rPr>
        <w:t xml:space="preserve"> </w:t>
      </w:r>
      <w:r w:rsidR="004C0B07" w:rsidRPr="00287DAB">
        <w:rPr>
          <w:rFonts w:cs="Arial"/>
        </w:rPr>
        <w:t>října</w:t>
      </w:r>
      <w:r w:rsidR="00F73675" w:rsidRPr="00E56616">
        <w:rPr>
          <w:rFonts w:cs="Arial"/>
        </w:rPr>
        <w:t xml:space="preserve"> 2014</w:t>
      </w:r>
      <w:r w:rsidRPr="00E56616">
        <w:rPr>
          <w:rFonts w:cs="Arial"/>
        </w:rPr>
        <w:t xml:space="preserve">. Toto opatření bylo dne </w:t>
      </w:r>
      <w:r w:rsidR="00485018" w:rsidRPr="00287DAB">
        <w:rPr>
          <w:rFonts w:cs="Arial"/>
        </w:rPr>
        <w:t>3</w:t>
      </w:r>
      <w:r w:rsidRPr="00287DAB">
        <w:rPr>
          <w:rFonts w:cs="Arial"/>
        </w:rPr>
        <w:t>.</w:t>
      </w:r>
      <w:r w:rsidR="004C0B07" w:rsidRPr="00287DAB">
        <w:rPr>
          <w:rFonts w:cs="Arial"/>
        </w:rPr>
        <w:t xml:space="preserve"> listopadu</w:t>
      </w:r>
      <w:r w:rsidR="007A6F64" w:rsidRPr="00E56616">
        <w:rPr>
          <w:rFonts w:cs="Arial"/>
        </w:rPr>
        <w:t xml:space="preserve"> </w:t>
      </w:r>
      <w:r w:rsidR="00F73675" w:rsidRPr="00E56616">
        <w:rPr>
          <w:rFonts w:cs="Arial"/>
        </w:rPr>
        <w:t>2014</w:t>
      </w:r>
      <w:r w:rsidRPr="00E56616">
        <w:rPr>
          <w:rFonts w:cs="Arial"/>
        </w:rPr>
        <w:t xml:space="preserve"> uveřejněno v částce </w:t>
      </w:r>
      <w:r w:rsidR="00485018" w:rsidRPr="00287DAB">
        <w:rPr>
          <w:rFonts w:cs="Arial"/>
        </w:rPr>
        <w:t>21</w:t>
      </w:r>
      <w:r w:rsidRPr="00287DAB">
        <w:rPr>
          <w:rFonts w:cs="Arial"/>
        </w:rPr>
        <w:t>/</w:t>
      </w:r>
      <w:r w:rsidR="00F73675" w:rsidRPr="00E56616">
        <w:rPr>
          <w:rFonts w:cs="Arial"/>
        </w:rPr>
        <w:t>2014</w:t>
      </w:r>
      <w:r w:rsidRPr="007C064C">
        <w:rPr>
          <w:rFonts w:cs="Arial"/>
        </w:rPr>
        <w:t xml:space="preserve"> Telekomunikačního věstníku. Výsledky analýzy prokázaly, že trh č. 4 není efektivně konkurenčním trhem, neboť na něm působí podnik s významnou tržní silou. Rozhodnutím správního orgánu č. </w:t>
      </w:r>
      <w:r w:rsidRPr="00BD37D0">
        <w:rPr>
          <w:rFonts w:cs="Arial"/>
        </w:rPr>
        <w:t>SMP/4/</w:t>
      </w:r>
      <w:r w:rsidR="0085643B">
        <w:rPr>
          <w:rFonts w:cs="Arial"/>
        </w:rPr>
        <w:t>03</w:t>
      </w:r>
      <w:r w:rsidRPr="00BD37D0">
        <w:rPr>
          <w:rFonts w:cs="Arial"/>
        </w:rPr>
        <w:t>.201</w:t>
      </w:r>
      <w:r w:rsidR="00287DAB" w:rsidRPr="00BD37D0">
        <w:rPr>
          <w:rFonts w:cs="Arial"/>
        </w:rPr>
        <w:t>5</w:t>
      </w:r>
      <w:r w:rsidRPr="00BD37D0">
        <w:rPr>
          <w:rFonts w:cs="Arial"/>
        </w:rPr>
        <w:t>-</w:t>
      </w:r>
      <w:r w:rsidR="0085643B">
        <w:rPr>
          <w:rFonts w:cs="Arial"/>
        </w:rPr>
        <w:t>1</w:t>
      </w:r>
      <w:r w:rsidR="00EF4343">
        <w:rPr>
          <w:rFonts w:cs="Arial"/>
        </w:rPr>
        <w:t xml:space="preserve"> ze dne </w:t>
      </w:r>
      <w:r w:rsidR="0085643B">
        <w:rPr>
          <w:rFonts w:cs="Arial"/>
        </w:rPr>
        <w:t>11. března</w:t>
      </w:r>
      <w:r w:rsidR="007A6F64" w:rsidRPr="00A27C6F">
        <w:rPr>
          <w:rFonts w:cs="Arial"/>
        </w:rPr>
        <w:t xml:space="preserve"> </w:t>
      </w:r>
      <w:r w:rsidR="00F73675" w:rsidRPr="005A504F">
        <w:rPr>
          <w:rFonts w:cs="Arial"/>
        </w:rPr>
        <w:t>201</w:t>
      </w:r>
      <w:r w:rsidR="003304AB" w:rsidRPr="005A504F">
        <w:rPr>
          <w:rFonts w:cs="Arial"/>
        </w:rPr>
        <w:t>5</w:t>
      </w:r>
      <w:r w:rsidRPr="007C064C">
        <w:rPr>
          <w:rFonts w:cs="Arial"/>
        </w:rPr>
        <w:t xml:space="preserve">, které bylo vydáno pod čj. </w:t>
      </w:r>
      <w:r w:rsidR="00B1419B">
        <w:rPr>
          <w:rFonts w:cs="Arial"/>
        </w:rPr>
        <w:t>ČTÚ-</w:t>
      </w:r>
      <w:r w:rsidR="005A504F">
        <w:rPr>
          <w:rFonts w:cs="Arial"/>
        </w:rPr>
        <w:t>62 791</w:t>
      </w:r>
      <w:r w:rsidRPr="005A504F">
        <w:rPr>
          <w:rFonts w:cs="Arial"/>
        </w:rPr>
        <w:t>/</w:t>
      </w:r>
      <w:r w:rsidR="00F73675" w:rsidRPr="005A504F">
        <w:rPr>
          <w:rFonts w:cs="Arial"/>
        </w:rPr>
        <w:t>2014-611</w:t>
      </w:r>
      <w:r w:rsidRPr="007C064C">
        <w:rPr>
          <w:rFonts w:cs="Arial"/>
        </w:rPr>
        <w:t xml:space="preserve">, a které nabylo právní moci dne </w:t>
      </w:r>
      <w:r w:rsidR="00FA6F55">
        <w:rPr>
          <w:rFonts w:cs="Arial"/>
        </w:rPr>
        <w:t>13</w:t>
      </w:r>
      <w:r w:rsidRPr="00BD37D0">
        <w:rPr>
          <w:rFonts w:cs="Arial"/>
        </w:rPr>
        <w:t xml:space="preserve">. </w:t>
      </w:r>
      <w:r w:rsidR="00FA6F55">
        <w:rPr>
          <w:rFonts w:cs="Arial"/>
        </w:rPr>
        <w:t>března</w:t>
      </w:r>
      <w:r w:rsidR="007A6F64" w:rsidRPr="00A27C6F">
        <w:rPr>
          <w:rFonts w:cs="Arial"/>
        </w:rPr>
        <w:t xml:space="preserve"> </w:t>
      </w:r>
      <w:r w:rsidR="00F73675" w:rsidRPr="005A504F">
        <w:rPr>
          <w:rFonts w:cs="Arial"/>
        </w:rPr>
        <w:t>201</w:t>
      </w:r>
      <w:r w:rsidR="003304AB" w:rsidRPr="005A504F">
        <w:rPr>
          <w:rFonts w:cs="Arial"/>
        </w:rPr>
        <w:t>5</w:t>
      </w:r>
      <w:r w:rsidRPr="007C064C">
        <w:rPr>
          <w:rFonts w:cs="Arial"/>
        </w:rPr>
        <w:t>, byl účastník řízení stanoven jako podnik s významnou tržní silou.</w:t>
      </w:r>
    </w:p>
    <w:p w:rsidR="00EF4343" w:rsidRDefault="00523750" w:rsidP="00C32177">
      <w:pPr>
        <w:ind w:firstLine="709"/>
        <w:jc w:val="both"/>
        <w:rPr>
          <w:rFonts w:cs="Arial"/>
        </w:rPr>
      </w:pPr>
      <w:r w:rsidRPr="007C064C">
        <w:rPr>
          <w:rFonts w:cs="Arial"/>
        </w:rPr>
        <w:t>V p</w:t>
      </w:r>
      <w:r w:rsidR="00710D83">
        <w:rPr>
          <w:rFonts w:cs="Arial"/>
        </w:rPr>
        <w:t>řípadě účastníka řízení analýza</w:t>
      </w:r>
      <w:r w:rsidRPr="007C064C">
        <w:rPr>
          <w:rFonts w:cs="Arial"/>
        </w:rPr>
        <w:t xml:space="preserve"> prokázala, že jsou naplněny podmínky pro uložení regulace</w:t>
      </w:r>
      <w:r w:rsidR="004C0B07">
        <w:rPr>
          <w:rFonts w:cs="Arial"/>
        </w:rPr>
        <w:t xml:space="preserve"> cen</w:t>
      </w:r>
      <w:r w:rsidRPr="007C064C">
        <w:rPr>
          <w:rFonts w:cs="Arial"/>
        </w:rPr>
        <w:t xml:space="preserve"> podle § </w:t>
      </w:r>
      <w:r w:rsidR="004C0B07">
        <w:rPr>
          <w:rFonts w:cs="Arial"/>
        </w:rPr>
        <w:t xml:space="preserve">51 odst. 5 písm. f) Zákona a navrhla mu uložit </w:t>
      </w:r>
      <w:r w:rsidRPr="007C064C">
        <w:rPr>
          <w:rFonts w:cs="Arial"/>
        </w:rPr>
        <w:t>povinnosti související s regulací cen</w:t>
      </w:r>
      <w:r w:rsidR="004C0B07">
        <w:rPr>
          <w:rFonts w:cs="Arial"/>
        </w:rPr>
        <w:t>. Správní orgán proto přistoupil k uložení povinností uvedených ve výroku tohoto rozhodnutí.</w:t>
      </w:r>
    </w:p>
    <w:p w:rsidR="00351776" w:rsidRDefault="00351776" w:rsidP="00C32177">
      <w:pPr>
        <w:spacing w:before="240" w:after="120"/>
        <w:ind w:firstLine="709"/>
        <w:jc w:val="both"/>
        <w:outlineLvl w:val="0"/>
        <w:rPr>
          <w:rFonts w:cs="Arial"/>
        </w:rPr>
      </w:pPr>
      <w:r>
        <w:rPr>
          <w:rFonts w:cs="Arial"/>
        </w:rPr>
        <w:t xml:space="preserve">K části I. </w:t>
      </w:r>
      <w:r w:rsidR="000C5F18">
        <w:rPr>
          <w:rFonts w:cs="Arial"/>
        </w:rPr>
        <w:t>v</w:t>
      </w:r>
      <w:r>
        <w:rPr>
          <w:rFonts w:cs="Arial"/>
        </w:rPr>
        <w:t>ýroku</w:t>
      </w:r>
    </w:p>
    <w:p w:rsidR="007A6F64" w:rsidRDefault="007A6F64" w:rsidP="00C32177">
      <w:pPr>
        <w:spacing w:after="120"/>
        <w:ind w:firstLine="709"/>
        <w:jc w:val="both"/>
      </w:pPr>
      <w:r w:rsidRPr="00E822DE">
        <w:t>Správní orgán je podle ustanovení § 56 odst. 4 Zákona povinen při uplatňování cenové regulace brát do úvahy ochranu zájmu subjektu, jehož ceny jsou regulovány tak, aby cena plynoucí z rozhodnutí správního orgánu byla přinejmenším nákladová. Nákladově orientovanou cenou se podle ustanovení § 55 odst. 2 Zákona rozumí cena, která zahrnuje efektivně a účelně vynaložené náklady a přiměřený zisk</w:t>
      </w:r>
      <w:r w:rsidR="00B22437">
        <w:t>,</w:t>
      </w:r>
      <w:r w:rsidRPr="00E822DE">
        <w:t xml:space="preserve"> a která se sjedná tak, aby zajistila návratnost investic v přiměřeném časovém období a zohlednila příslušná rizika, včetně rizik spojených s investicemi do nových sítí.</w:t>
      </w:r>
    </w:p>
    <w:p w:rsidR="007A6F64" w:rsidRDefault="007A6F64" w:rsidP="00C32177">
      <w:pPr>
        <w:spacing w:after="120"/>
        <w:ind w:firstLine="709"/>
        <w:jc w:val="both"/>
      </w:pPr>
      <w:r w:rsidRPr="005518AF">
        <w:rPr>
          <w:rFonts w:cs="Arial"/>
        </w:rPr>
        <w:lastRenderedPageBreak/>
        <w:t xml:space="preserve">Správní orgán je s ohledem na ustanovení § 108 odst. 3 Zákona povinen při výkonu své působnosti vycházet rovněž z doporučení Evropské komise. Rozhodne-li se správní orgán nepostupovat podle doporučení </w:t>
      </w:r>
      <w:r>
        <w:rPr>
          <w:rFonts w:cs="Arial"/>
        </w:rPr>
        <w:t>Evropské k</w:t>
      </w:r>
      <w:r w:rsidRPr="005518AF">
        <w:rPr>
          <w:rFonts w:cs="Arial"/>
        </w:rPr>
        <w:t>omise, kterým se harmonizuje uplatňování práva Evropské unie upravujícího oblast elektronických komunikací, bezodkladně o tom Evropskou komisi informuje spolu s odůvodněním takového postupu.</w:t>
      </w:r>
    </w:p>
    <w:p w:rsidR="007A6F64" w:rsidRPr="00A27C6F" w:rsidRDefault="007A6F64" w:rsidP="00C32177">
      <w:pPr>
        <w:spacing w:after="120"/>
        <w:ind w:firstLine="709"/>
        <w:jc w:val="both"/>
        <w:rPr>
          <w:rFonts w:cs="Arial"/>
        </w:rPr>
      </w:pPr>
      <w:r w:rsidRPr="00A27C6F">
        <w:rPr>
          <w:rFonts w:cs="Arial"/>
        </w:rPr>
        <w:t>S ohledem na výše</w:t>
      </w:r>
      <w:r w:rsidRPr="00721311">
        <w:rPr>
          <w:rFonts w:cs="Arial"/>
        </w:rPr>
        <w:t xml:space="preserve"> uvedené správní orgán přihlédl </w:t>
      </w:r>
      <w:r w:rsidR="00376012" w:rsidRPr="00721311">
        <w:rPr>
          <w:rFonts w:cs="Arial"/>
        </w:rPr>
        <w:t xml:space="preserve">při ukládání nápravného opatření souvisejícího s cenovou regulací účastníku řízení </w:t>
      </w:r>
      <w:r w:rsidRPr="00721311">
        <w:rPr>
          <w:rFonts w:cs="Arial"/>
        </w:rPr>
        <w:t>k </w:t>
      </w:r>
      <w:r w:rsidR="00721311">
        <w:rPr>
          <w:rFonts w:cs="Arial"/>
        </w:rPr>
        <w:t>D</w:t>
      </w:r>
      <w:r w:rsidRPr="00721311">
        <w:rPr>
          <w:rFonts w:cs="Arial"/>
        </w:rPr>
        <w:t xml:space="preserve">oporučení </w:t>
      </w:r>
      <w:r w:rsidR="00721311">
        <w:rPr>
          <w:rFonts w:cs="Arial"/>
        </w:rPr>
        <w:t>K</w:t>
      </w:r>
      <w:r w:rsidRPr="00721311">
        <w:rPr>
          <w:rFonts w:cs="Arial"/>
        </w:rPr>
        <w:t>omise</w:t>
      </w:r>
      <w:r w:rsidR="00B22437">
        <w:rPr>
          <w:rFonts w:cs="Arial"/>
        </w:rPr>
        <w:t xml:space="preserve"> č. 2013/466/EU ze dne 11 září 2013</w:t>
      </w:r>
      <w:r w:rsidRPr="00721311">
        <w:rPr>
          <w:rFonts w:cs="Arial"/>
        </w:rPr>
        <w:t xml:space="preserve"> </w:t>
      </w:r>
      <w:r w:rsidR="00B22437">
        <w:rPr>
          <w:rFonts w:cs="Arial"/>
        </w:rPr>
        <w:t>o konzistentních povinnostech nediskriminace a metodikách výpočtu nákladů s cílem podpořit hospodářskou soutěž a zlepšit podmínky pro investice do širokopásmového připojení</w:t>
      </w:r>
      <w:r w:rsidR="00376012" w:rsidRPr="00721311">
        <w:rPr>
          <w:rFonts w:cs="Arial"/>
        </w:rPr>
        <w:t xml:space="preserve"> </w:t>
      </w:r>
      <w:r w:rsidR="00346E78">
        <w:rPr>
          <w:rFonts w:cs="Arial"/>
        </w:rPr>
        <w:t>(dále jen „Doporučení“)</w:t>
      </w:r>
      <w:r w:rsidR="00376012" w:rsidRPr="00721311">
        <w:rPr>
          <w:rFonts w:cs="Arial"/>
        </w:rPr>
        <w:t>.</w:t>
      </w:r>
    </w:p>
    <w:p w:rsidR="008D4C4A" w:rsidRDefault="00721311" w:rsidP="00C32177">
      <w:pPr>
        <w:autoSpaceDE w:val="0"/>
        <w:autoSpaceDN w:val="0"/>
        <w:adjustRightInd w:val="0"/>
        <w:spacing w:after="120"/>
        <w:ind w:firstLine="709"/>
        <w:jc w:val="both"/>
        <w:rPr>
          <w:rFonts w:ascii="ArialMT" w:hAnsi="ArialMT" w:cs="ArialMT"/>
          <w:color w:val="000000"/>
        </w:rPr>
      </w:pPr>
      <w:r>
        <w:rPr>
          <w:rFonts w:cs="Arial"/>
          <w:color w:val="000000"/>
        </w:rPr>
        <w:t>Správní orgán</w:t>
      </w:r>
      <w:r w:rsidR="00376012" w:rsidRPr="00A27C6F">
        <w:rPr>
          <w:rFonts w:cs="Arial"/>
          <w:color w:val="000000"/>
        </w:rPr>
        <w:t xml:space="preserve"> při stanovení cen využil nákladový model, jenž umožňuje</w:t>
      </w:r>
      <w:r w:rsidR="00376012">
        <w:rPr>
          <w:rFonts w:ascii="ArialMT" w:hAnsi="ArialMT" w:cs="ArialMT"/>
          <w:color w:val="000000"/>
        </w:rPr>
        <w:t xml:space="preserve"> stanovit ceny služeb konzistentně podél celého „žebříku investic“, tedy počínaje službami poskytovanými na relevantním trhu č. 4, na navazujícím velkoobchodním trhu č. 5 a následně i na maloobchodním trhu přístupu k síti Internet (za účelem ověření, zda nedochází ke stlačování marží). Tento přístup usnadní kontrolu a zajistí, že náklady vynakládané účastníkem řízení na služby napříč celým produktovým řetězcem (od relevantního trhu č. 4 až po trh maloobchodní) budou správně alokovány a nebude docházet k vícenásobnému zahrnutí vynaložených nákladů do cen poskytovaných služeb</w:t>
      </w:r>
      <w:r w:rsidR="00981971">
        <w:rPr>
          <w:rStyle w:val="Znakapoznpodarou"/>
          <w:rFonts w:ascii="ArialMT" w:hAnsi="ArialMT" w:cs="ArialMT"/>
          <w:color w:val="000000"/>
        </w:rPr>
        <w:footnoteReference w:id="1"/>
      </w:r>
      <w:r w:rsidR="00376012">
        <w:rPr>
          <w:rFonts w:ascii="ArialMT" w:hAnsi="ArialMT" w:cs="ArialMT"/>
          <w:color w:val="000000"/>
        </w:rPr>
        <w:t>. Model je založen na metodice „Bottom-up“ přírůstkových nákladů (LRAIC+), vychází z principů oceňování majetku na bázi současných cen včetně moderní používané technologie (CCA/MEA), které umožňují jak regulovanému subjektu, tak zájemcům o</w:t>
      </w:r>
      <w:r w:rsidR="00346E78">
        <w:rPr>
          <w:rFonts w:ascii="ArialMT" w:hAnsi="ArialMT" w:cs="ArialMT"/>
          <w:color w:val="000000"/>
        </w:rPr>
        <w:t> </w:t>
      </w:r>
      <w:r w:rsidR="00376012">
        <w:rPr>
          <w:rFonts w:ascii="ArialMT" w:hAnsi="ArialMT" w:cs="ArialMT"/>
          <w:color w:val="000000"/>
        </w:rPr>
        <w:t>velkoobchodní služby činit efektivní investiční rozhodnutí, a odráží i</w:t>
      </w:r>
      <w:r w:rsidR="00847FB7">
        <w:rPr>
          <w:rFonts w:ascii="ArialMT" w:hAnsi="ArialMT" w:cs="ArialMT"/>
          <w:color w:val="000000"/>
        </w:rPr>
        <w:t> </w:t>
      </w:r>
      <w:r w:rsidR="00376012">
        <w:rPr>
          <w:rFonts w:ascii="ArialMT" w:hAnsi="ArialMT" w:cs="ArialMT"/>
          <w:color w:val="000000"/>
        </w:rPr>
        <w:t>existující topologii sítě účastníka řízení. Nákladový model byl zveřejněn na webové stránce Úřadu, a to jako „</w:t>
      </w:r>
      <w:hyperlink r:id="rId8" w:history="1">
        <w:r w:rsidR="00376012" w:rsidRPr="00847FB7">
          <w:rPr>
            <w:rStyle w:val="Hypertextovodkaz"/>
            <w:rFonts w:ascii="ArialMT" w:hAnsi="ArialMT" w:cs="ArialMT"/>
          </w:rPr>
          <w:t>Nákladový model velkoobchodního (fyzického) přístupu k infrastruktuře sítě (včetně sdíleného nebo plného zpřístupnění účastnického vedení) v</w:t>
        </w:r>
        <w:r w:rsidR="00E51550">
          <w:rPr>
            <w:rStyle w:val="Hypertextovodkaz"/>
            <w:rFonts w:ascii="ArialMT" w:hAnsi="ArialMT" w:cs="ArialMT"/>
          </w:rPr>
          <w:t> </w:t>
        </w:r>
        <w:r w:rsidR="00376012" w:rsidRPr="00847FB7">
          <w:rPr>
            <w:rStyle w:val="Hypertextovodkaz"/>
            <w:rFonts w:ascii="ArialMT" w:hAnsi="ArialMT" w:cs="ArialMT"/>
          </w:rPr>
          <w:t>pevném místě, velkoobchodního širokopásmového přístupu v sít</w:t>
        </w:r>
        <w:r w:rsidR="003304AB">
          <w:rPr>
            <w:rStyle w:val="Hypertextovodkaz"/>
            <w:rFonts w:ascii="ArialMT" w:hAnsi="ArialMT" w:cs="ArialMT"/>
          </w:rPr>
          <w:t>ích elektronických komunikací a </w:t>
        </w:r>
        <w:r w:rsidR="00376012" w:rsidRPr="00847FB7">
          <w:rPr>
            <w:rStyle w:val="Hypertextovodkaz"/>
            <w:rFonts w:ascii="ArialMT" w:hAnsi="ArialMT" w:cs="ArialMT"/>
          </w:rPr>
          <w:t>souvisejícího maloobchodního trhu</w:t>
        </w:r>
      </w:hyperlink>
      <w:r w:rsidR="00376012">
        <w:rPr>
          <w:rFonts w:ascii="ArialMT" w:hAnsi="ArialMT" w:cs="ArialMT"/>
          <w:color w:val="000000"/>
        </w:rPr>
        <w:t>“. S využitím tohoto modelu byly stanoveny měsíční ceny zpřístupnění. Model zároveň stanovuje i jednorázové ceny zpřístupnění, a to prostřednictvím metodiky ABC</w:t>
      </w:r>
      <w:r w:rsidR="00376012" w:rsidRPr="00457808">
        <w:rPr>
          <w:rFonts w:ascii="ArialMT" w:hAnsi="ArialMT" w:cs="ArialMT"/>
          <w:color w:val="000000"/>
        </w:rPr>
        <w:t xml:space="preserve">. </w:t>
      </w:r>
      <w:r w:rsidR="00376012" w:rsidRPr="00457808">
        <w:rPr>
          <w:rFonts w:ascii="ArialMT" w:hAnsi="ArialMT" w:cs="ArialMT"/>
          <w:color w:val="000000"/>
        </w:rPr>
        <w:lastRenderedPageBreak/>
        <w:t xml:space="preserve">Výpočet jednorázových cen kolokace a výpočet měsíčních cen kolokace byl proveden s využitím stávajícího </w:t>
      </w:r>
      <w:r w:rsidR="00F73675" w:rsidRPr="00287DAB">
        <w:rPr>
          <w:rFonts w:ascii="ArialMT" w:hAnsi="ArialMT" w:cs="ArialMT"/>
          <w:color w:val="000000"/>
        </w:rPr>
        <w:t>nákladového modelu</w:t>
      </w:r>
      <w:r w:rsidR="00376012" w:rsidRPr="00457808">
        <w:rPr>
          <w:rFonts w:ascii="ArialMT" w:hAnsi="ArialMT" w:cs="ArialMT"/>
          <w:color w:val="000000"/>
        </w:rPr>
        <w:t>, zveřejněného na webové stránce Úřadu</w:t>
      </w:r>
      <w:r w:rsidR="00884BB0">
        <w:rPr>
          <w:rFonts w:ascii="ArialMT" w:hAnsi="ArialMT" w:cs="ArialMT"/>
          <w:color w:val="000000"/>
        </w:rPr>
        <w:t xml:space="preserve"> jako </w:t>
      </w:r>
      <w:hyperlink r:id="rId9" w:history="1">
        <w:r w:rsidR="00884BB0" w:rsidRPr="00884BB0">
          <w:rPr>
            <w:rStyle w:val="Hypertextovodkaz"/>
            <w:rFonts w:ascii="ArialMT" w:hAnsi="ArialMT" w:cs="ArialMT"/>
          </w:rPr>
          <w:t>Nákladový model pro zpřístupnění prostředků a služeb nezbytných k poskytování služeb prostřednictvím účastnického kovového vedení (kolokace)</w:t>
        </w:r>
      </w:hyperlink>
      <w:r w:rsidR="00376012" w:rsidRPr="00457808">
        <w:rPr>
          <w:rFonts w:ascii="ArialMT" w:hAnsi="ArialMT" w:cs="ArialMT"/>
          <w:color w:val="000000"/>
        </w:rPr>
        <w:t>.</w:t>
      </w:r>
    </w:p>
    <w:p w:rsidR="00376012" w:rsidRDefault="00376012" w:rsidP="00C32177">
      <w:pPr>
        <w:autoSpaceDE w:val="0"/>
        <w:autoSpaceDN w:val="0"/>
        <w:adjustRightInd w:val="0"/>
        <w:spacing w:after="120"/>
        <w:ind w:firstLine="709"/>
        <w:jc w:val="both"/>
        <w:rPr>
          <w:rFonts w:ascii="ArialMT" w:hAnsi="ArialMT" w:cs="ArialMT"/>
          <w:color w:val="000000"/>
        </w:rPr>
      </w:pPr>
      <w:r w:rsidRPr="00457808">
        <w:rPr>
          <w:rFonts w:ascii="ArialMT" w:hAnsi="ArialMT" w:cs="ArialMT"/>
          <w:color w:val="000000"/>
        </w:rPr>
        <w:t>Stanov</w:t>
      </w:r>
      <w:r>
        <w:rPr>
          <w:rFonts w:ascii="ArialMT" w:hAnsi="ArialMT" w:cs="ArialMT"/>
          <w:color w:val="000000"/>
        </w:rPr>
        <w:t>ené ceny zohledňují efektivní a účelně vynaložené náklady, příslušná rizika a</w:t>
      </w:r>
      <w:r w:rsidR="008D4C4A">
        <w:rPr>
          <w:rFonts w:ascii="ArialMT" w:hAnsi="ArialMT" w:cs="ArialMT"/>
          <w:color w:val="000000"/>
        </w:rPr>
        <w:t> </w:t>
      </w:r>
      <w:r>
        <w:rPr>
          <w:rFonts w:ascii="ArialMT" w:hAnsi="ArialMT" w:cs="ArialMT"/>
          <w:color w:val="000000"/>
        </w:rPr>
        <w:t>návratnost investic v</w:t>
      </w:r>
      <w:r w:rsidR="00346E78">
        <w:rPr>
          <w:rFonts w:ascii="ArialMT" w:hAnsi="ArialMT" w:cs="ArialMT"/>
          <w:color w:val="000000"/>
        </w:rPr>
        <w:t> </w:t>
      </w:r>
      <w:r>
        <w:rPr>
          <w:rFonts w:ascii="ArialMT" w:hAnsi="ArialMT" w:cs="ArialMT"/>
          <w:color w:val="000000"/>
        </w:rPr>
        <w:t>přiměřeném časovém období v souladu s § 57 odst. 3 Zákona</w:t>
      </w:r>
      <w:r w:rsidR="008D4C4A">
        <w:rPr>
          <w:rFonts w:ascii="ArialMT" w:hAnsi="ArialMT" w:cs="ArialMT"/>
          <w:color w:val="000000"/>
        </w:rPr>
        <w:t>. P</w:t>
      </w:r>
      <w:r>
        <w:rPr>
          <w:rFonts w:ascii="ArialMT" w:hAnsi="ArialMT" w:cs="ArialMT"/>
          <w:color w:val="000000"/>
        </w:rPr>
        <w:t>rocento návratnosti vloženého kapitálu před zdaněním WACC bylo použito ve výši 8,26 %, tedy ve výši stanovené v opatření obecné povahy č. OOP/4/0</w:t>
      </w:r>
      <w:r w:rsidR="008D4C4A">
        <w:rPr>
          <w:rFonts w:ascii="ArialMT" w:hAnsi="ArialMT" w:cs="ArialMT"/>
          <w:color w:val="000000"/>
        </w:rPr>
        <w:t>9</w:t>
      </w:r>
      <w:r>
        <w:rPr>
          <w:rFonts w:ascii="ArialMT" w:hAnsi="ArialMT" w:cs="ArialMT"/>
          <w:color w:val="000000"/>
        </w:rPr>
        <w:t>.20</w:t>
      </w:r>
      <w:r w:rsidR="008D4C4A">
        <w:rPr>
          <w:rFonts w:ascii="ArialMT" w:hAnsi="ArialMT" w:cs="ArialMT"/>
          <w:color w:val="000000"/>
        </w:rPr>
        <w:t>14</w:t>
      </w:r>
      <w:r>
        <w:rPr>
          <w:rFonts w:ascii="ArialMT" w:hAnsi="ArialMT" w:cs="ArialMT"/>
          <w:color w:val="000000"/>
        </w:rPr>
        <w:t>-</w:t>
      </w:r>
      <w:r w:rsidR="008D4C4A">
        <w:rPr>
          <w:rFonts w:ascii="ArialMT" w:hAnsi="ArialMT" w:cs="ArialMT"/>
          <w:color w:val="000000"/>
        </w:rPr>
        <w:t>6</w:t>
      </w:r>
      <w:r>
        <w:rPr>
          <w:rFonts w:ascii="ArialMT" w:hAnsi="ArialMT" w:cs="ArialMT"/>
          <w:color w:val="000000"/>
        </w:rPr>
        <w:t xml:space="preserve">, </w:t>
      </w:r>
      <w:r w:rsidR="008D4C4A">
        <w:rPr>
          <w:rFonts w:ascii="ArialMT" w:hAnsi="ArialMT" w:cs="ArialMT"/>
          <w:color w:val="000000"/>
        </w:rPr>
        <w:t>kterým se stanoví metodika účelového členění nákladů a výnosů a jejich přiřazování a určuje se struktura vykazovaných informací (dále jen „OOP č. 4“)</w:t>
      </w:r>
      <w:r>
        <w:rPr>
          <w:rFonts w:ascii="ArialMT" w:hAnsi="ArialMT" w:cs="ArialMT"/>
          <w:color w:val="000000"/>
        </w:rPr>
        <w:t>.</w:t>
      </w:r>
    </w:p>
    <w:p w:rsidR="00662167" w:rsidRDefault="00BA377F" w:rsidP="00C32177">
      <w:pPr>
        <w:spacing w:after="120"/>
        <w:ind w:firstLine="709"/>
        <w:jc w:val="both"/>
      </w:pPr>
      <w:r w:rsidRPr="00457808">
        <w:rPr>
          <w:rFonts w:cs="Arial"/>
        </w:rPr>
        <w:t>Správní orgán v tomto rozhodnutí</w:t>
      </w:r>
      <w:r w:rsidR="00346E78" w:rsidRPr="00457808">
        <w:rPr>
          <w:rFonts w:cs="Arial"/>
        </w:rPr>
        <w:t>, v souladu s výsledky analýzy relevantního trhu č.</w:t>
      </w:r>
      <w:r w:rsidR="00884BB0">
        <w:rPr>
          <w:rFonts w:cs="Arial"/>
        </w:rPr>
        <w:t> </w:t>
      </w:r>
      <w:r w:rsidR="00346E78" w:rsidRPr="00287DAB">
        <w:rPr>
          <w:rFonts w:cs="Arial"/>
        </w:rPr>
        <w:t>A/4/</w:t>
      </w:r>
      <w:r w:rsidR="00485018" w:rsidRPr="00287DAB">
        <w:rPr>
          <w:rFonts w:cs="Arial"/>
        </w:rPr>
        <w:t>10</w:t>
      </w:r>
      <w:r w:rsidR="00346E78" w:rsidRPr="00287DAB">
        <w:rPr>
          <w:rFonts w:cs="Arial"/>
        </w:rPr>
        <w:t>.201</w:t>
      </w:r>
      <w:r w:rsidR="009B3495" w:rsidRPr="00287DAB">
        <w:rPr>
          <w:rFonts w:cs="Arial"/>
        </w:rPr>
        <w:t>4</w:t>
      </w:r>
      <w:r w:rsidR="00346E78" w:rsidRPr="00287DAB">
        <w:rPr>
          <w:rFonts w:cs="Arial"/>
        </w:rPr>
        <w:t>-</w:t>
      </w:r>
      <w:r w:rsidR="00485018" w:rsidRPr="008D4C4A">
        <w:rPr>
          <w:rFonts w:cs="Arial"/>
        </w:rPr>
        <w:t>8</w:t>
      </w:r>
      <w:r w:rsidR="00346E78" w:rsidRPr="008D4C4A">
        <w:rPr>
          <w:rFonts w:cs="Arial"/>
        </w:rPr>
        <w:t xml:space="preserve">, </w:t>
      </w:r>
      <w:r w:rsidR="00F73675" w:rsidRPr="008D4C4A">
        <w:rPr>
          <w:rFonts w:cs="Arial"/>
        </w:rPr>
        <w:t>dále</w:t>
      </w:r>
      <w:r w:rsidR="009B3495">
        <w:rPr>
          <w:rFonts w:cs="Arial"/>
        </w:rPr>
        <w:t xml:space="preserve"> </w:t>
      </w:r>
      <w:r w:rsidR="00346E78" w:rsidRPr="00457808">
        <w:rPr>
          <w:rFonts w:cs="Arial"/>
        </w:rPr>
        <w:t>ukládá cenovou regulaci formou nákladové orientace i</w:t>
      </w:r>
      <w:r w:rsidRPr="00457808">
        <w:rPr>
          <w:rFonts w:cs="Arial"/>
        </w:rPr>
        <w:t xml:space="preserve"> </w:t>
      </w:r>
      <w:r w:rsidR="004C093E" w:rsidRPr="00457808">
        <w:t>pro služby přístupu k</w:t>
      </w:r>
      <w:r w:rsidR="008D4C4A">
        <w:t> přiřazeným prostředkům, jako např. kabelovodům, chráničkám či nenasvíceným optickým vláknům (</w:t>
      </w:r>
      <w:r w:rsidR="004F74F5">
        <w:t>tj. prvkům</w:t>
      </w:r>
      <w:r w:rsidR="004C093E" w:rsidRPr="00457808">
        <w:t> pasivní infrastruktu</w:t>
      </w:r>
      <w:r w:rsidR="004F74F5">
        <w:t>ry)</w:t>
      </w:r>
      <w:r w:rsidR="00346E78" w:rsidRPr="00457808">
        <w:t xml:space="preserve">. </w:t>
      </w:r>
      <w:r w:rsidR="00B8257D">
        <w:t xml:space="preserve">Nákladová orientace pro služby přístupu k přiřazeným prostředkům je založena na metodě </w:t>
      </w:r>
      <w:r w:rsidR="00B8257D" w:rsidRPr="003304AB">
        <w:t>LRIC+</w:t>
      </w:r>
      <w:r w:rsidR="00F60A88" w:rsidRPr="003304AB">
        <w:t>, tedy na přírůstkových nákladech navýšených o proporční část společných a sdílených nákladů</w:t>
      </w:r>
      <w:r w:rsidR="00F60A88">
        <w:t>,</w:t>
      </w:r>
      <w:r w:rsidR="00B8257D">
        <w:t xml:space="preserve"> a ocenění aktiv pomocí běžných nákladů (CCA). </w:t>
      </w:r>
      <w:r w:rsidR="005A6507" w:rsidRPr="00A27C6F">
        <w:rPr>
          <w:rFonts w:cs="Arial"/>
        </w:rPr>
        <w:t>V</w:t>
      </w:r>
      <w:r w:rsidR="005A6507" w:rsidRPr="00A27C6F">
        <w:t xml:space="preserve"> případě opakovaně použitelných již existujících starších pasivních prvků inženýrských sítí budou tato starší aktiva inženýrských sítí oceněna běžnými náklady, zohledňujícími uplynulou ekonomickou životnost aktiv. Počáteční hodnota těchto starších aktiv bude proto oceněna účetní hodnotou sníženou o oprávky k okamžiku výpočtu ceny, která </w:t>
      </w:r>
      <w:r w:rsidR="005A6507">
        <w:t>bude navýšena</w:t>
      </w:r>
      <w:r w:rsidR="005A6507" w:rsidRPr="00A27C6F">
        <w:t xml:space="preserve"> odpovídajícím cenovým indexem</w:t>
      </w:r>
      <w:r w:rsidR="005A6507">
        <w:t xml:space="preserve"> (např. indexem cen</w:t>
      </w:r>
      <w:r w:rsidR="003304AB">
        <w:t xml:space="preserve"> průmyslových výrobců</w:t>
      </w:r>
      <w:r w:rsidR="005A6507">
        <w:t>) za období od pořízení těchto aktiv do doby výpočtu jejich ceny</w:t>
      </w:r>
      <w:r w:rsidR="005A6507" w:rsidRPr="00A27C6F">
        <w:t>.</w:t>
      </w:r>
      <w:r w:rsidR="00C4520E">
        <w:t xml:space="preserve"> Účastník řízení musí při plnění své povinnosti prokázat správnímu orgánu vhodnost zvoleného cenového indexu pro navýšení </w:t>
      </w:r>
      <w:bookmarkStart w:id="0" w:name="_GoBack"/>
      <w:bookmarkEnd w:id="0"/>
      <w:r w:rsidR="00C4520E">
        <w:t>počáteční hodnoty daných aktiv.</w:t>
      </w:r>
      <w:r w:rsidR="005A6507" w:rsidRPr="00A27C6F">
        <w:t xml:space="preserve"> </w:t>
      </w:r>
      <w:r w:rsidR="00F4074A">
        <w:t>Plně odepsané p</w:t>
      </w:r>
      <w:r w:rsidR="005A6507" w:rsidRPr="00A27C6F">
        <w:t>rvky inženýrských sítí</w:t>
      </w:r>
      <w:r w:rsidR="00F4074A">
        <w:t xml:space="preserve"> tak již </w:t>
      </w:r>
      <w:r w:rsidR="00C4520E">
        <w:t>nebudou</w:t>
      </w:r>
      <w:r w:rsidR="005A6507" w:rsidRPr="00A27C6F">
        <w:t xml:space="preserve"> tvořit součást počáteční regulační báze aktiv.</w:t>
      </w:r>
      <w:r w:rsidR="00662167">
        <w:t xml:space="preserve"> Tento postup při vyčíslení cen za služby přístupu k přiřazeným prostředkům vychází ze snahy</w:t>
      </w:r>
      <w:r w:rsidR="00F4074A">
        <w:t xml:space="preserve"> správního orgánu</w:t>
      </w:r>
      <w:r w:rsidR="00662167">
        <w:t xml:space="preserve"> přiblížit ceny regulovaných služeb cenám, které by panovaly na efektivně konkurenčním trhu, resp. nákladům, které by</w:t>
      </w:r>
      <w:r w:rsidR="00CE17E6">
        <w:t xml:space="preserve"> v současné době</w:t>
      </w:r>
      <w:r w:rsidR="00662167">
        <w:t xml:space="preserve"> na budování obdobných služeb vynaložil nový</w:t>
      </w:r>
      <w:r w:rsidR="00CE17E6">
        <w:t xml:space="preserve"> investor (operátor). Zvolená metoda se však současně od tohoto principu odchyluje v případě již existujících prvků pasivní infrastruktury, u kterých zohledňuje stávající ekonomickou životnost aktiv. Důvodem této odchylky je předpoklad, že již existující prvky pasivní infrastruktury by </w:t>
      </w:r>
      <w:r w:rsidR="00F4074A">
        <w:t xml:space="preserve">pravděpodobně </w:t>
      </w:r>
      <w:r w:rsidR="00CE17E6">
        <w:t xml:space="preserve">při současné úrovni konkurenčního prostředí na maloobchodním trhu přístupu k síti Internet nebyly ze strany alternativních operátorů replikovatelné, resp. by z jejich strany nedocházelo k investicím na </w:t>
      </w:r>
      <w:r w:rsidR="00CE17E6">
        <w:lastRenderedPageBreak/>
        <w:t>vybudování paralelní infrastruktury.</w:t>
      </w:r>
      <w:r w:rsidR="00F4074A">
        <w:t xml:space="preserve"> Tento postup je rovněž doporučován Evropskou komisí ve výše zmíněném Doporučení.</w:t>
      </w:r>
    </w:p>
    <w:p w:rsidR="004F74F5" w:rsidRDefault="00662167">
      <w:pPr>
        <w:spacing w:after="120"/>
        <w:ind w:firstLine="709"/>
        <w:jc w:val="both"/>
      </w:pPr>
      <w:r>
        <w:t xml:space="preserve">Zvolený přístup neznamená, že účastník řízení bude </w:t>
      </w:r>
      <w:r w:rsidR="00CE17E6">
        <w:t xml:space="preserve">separátně </w:t>
      </w:r>
      <w:r>
        <w:t>v</w:t>
      </w:r>
      <w:r w:rsidR="00CE17E6">
        <w:t>yčíslovat</w:t>
      </w:r>
      <w:r>
        <w:t xml:space="preserve"> unikátní cenu pro každou jednu službu přístupu k přiřazeným prostředkům,</w:t>
      </w:r>
      <w:r w:rsidR="00F4074A">
        <w:t xml:space="preserve"> o kterou jeho velkoobchodní partner (alternativní operátor) požádá,</w:t>
      </w:r>
      <w:r>
        <w:t xml:space="preserve"> a to zejména proto ne, že tento přístup by neumožnil transparentní uvedení cen přístupu k přiřazeným prostředkům v referenční nabídce.</w:t>
      </w:r>
      <w:r w:rsidR="00F4074A">
        <w:t xml:space="preserve"> Správní orgán očekává, že ceny za služby přístupu k přiřazeným prostředkům budou buď jednotné napříč celým územím ČR, nebo že účastník řízení při plnění své povinnosti veškeré geografické rozdíly v cenách náležitě odůvodní rozdílnou výší nákladů na poskytování služeb přístupu v daných oblastech.</w:t>
      </w:r>
    </w:p>
    <w:p w:rsidR="00E56616" w:rsidRDefault="00E56616">
      <w:pPr>
        <w:spacing w:after="120"/>
        <w:ind w:firstLine="709"/>
        <w:jc w:val="both"/>
      </w:pPr>
      <w:r>
        <w:t xml:space="preserve">Výše přiměřeného zisku u nákladově orientovaných služeb přístupu k přiřazeným prostředkům </w:t>
      </w:r>
      <w:r w:rsidR="009F20DE">
        <w:t xml:space="preserve">se řídí </w:t>
      </w:r>
      <w:r w:rsidR="009F20DE">
        <w:rPr>
          <w:rFonts w:cs="Arial"/>
        </w:rPr>
        <w:t>aktuální výší procenta návratnosti vloženého kapitálu před zdaněním</w:t>
      </w:r>
      <w:r w:rsidR="009F20DE">
        <w:t>, kterou správní orgán stanovuje v opatření obecné povahy podle ustanovení § 86 odst. 3 Zákona</w:t>
      </w:r>
      <w:r>
        <w:t>.</w:t>
      </w:r>
    </w:p>
    <w:p w:rsidR="00346E78" w:rsidRDefault="00346E78">
      <w:pPr>
        <w:spacing w:after="120"/>
        <w:ind w:firstLine="709"/>
        <w:jc w:val="both"/>
      </w:pPr>
      <w:r w:rsidRPr="00457808">
        <w:t>Rozvoj ve využívání stávající pasivní infrastruktury ze strany alternativních operátorů</w:t>
      </w:r>
      <w:r w:rsidR="004C093E" w:rsidRPr="00457808">
        <w:t xml:space="preserve"> by měl vést </w:t>
      </w:r>
      <w:r w:rsidR="000E6209" w:rsidRPr="00457808">
        <w:t xml:space="preserve">z dlouhodobého hlediska k </w:t>
      </w:r>
      <w:r w:rsidR="004C093E" w:rsidRPr="00457808">
        <w:t>posílení hospodářské soutěže na trhu širokopásmového přístupu k</w:t>
      </w:r>
      <w:r w:rsidR="006D53A5" w:rsidRPr="00457808">
        <w:t> </w:t>
      </w:r>
      <w:r w:rsidRPr="00457808">
        <w:t>I</w:t>
      </w:r>
      <w:r w:rsidR="004C093E" w:rsidRPr="00457808">
        <w:t>nternetu</w:t>
      </w:r>
      <w:r w:rsidR="006D53A5" w:rsidRPr="00457808">
        <w:t xml:space="preserve"> a</w:t>
      </w:r>
      <w:r w:rsidR="000E6209" w:rsidRPr="00457808">
        <w:t xml:space="preserve"> </w:t>
      </w:r>
      <w:r w:rsidR="00F365BE" w:rsidRPr="00457808">
        <w:t xml:space="preserve">vytvoření prostoru pro </w:t>
      </w:r>
      <w:r w:rsidR="006D53A5" w:rsidRPr="00457808">
        <w:t>z</w:t>
      </w:r>
      <w:r w:rsidR="00F365BE" w:rsidRPr="00457808">
        <w:t>vy</w:t>
      </w:r>
      <w:r w:rsidR="006D53A5" w:rsidRPr="00457808">
        <w:t>šo</w:t>
      </w:r>
      <w:r w:rsidR="00A32EE9" w:rsidRPr="00457808">
        <w:t>vání investic do NGA sítí</w:t>
      </w:r>
      <w:r w:rsidR="006D53A5" w:rsidRPr="00457808">
        <w:t>.</w:t>
      </w:r>
    </w:p>
    <w:p w:rsidR="00CB2B66" w:rsidRPr="00457808" w:rsidRDefault="00CB2B66">
      <w:pPr>
        <w:spacing w:after="120"/>
        <w:ind w:firstLine="709"/>
        <w:jc w:val="both"/>
      </w:pPr>
      <w:r w:rsidRPr="00BD37D0">
        <w:t xml:space="preserve">Ve srovnání s cenami nastavenými rušeným rozhodnutím o ceně č. CEN/4/06.2013-3 dochází u většiny služeb k mírnému cenovému poklesu. U nejdůležitějších služeb měsíčního pronájmu účastnického kovového vedení pro plné zpřístupnění dochází k poklesu ceny o 2,2 % (tj. ze 179 Kč na 175 Kč) a u měsíčního pronájmu účastnického kovového vedení pro sdílený přístup dochází k poklesu o </w:t>
      </w:r>
      <w:r w:rsidR="00794C0B" w:rsidRPr="00BD37D0">
        <w:t>13,3 % (tj. z</w:t>
      </w:r>
      <w:r w:rsidRPr="00BD37D0">
        <w:t xml:space="preserve"> 30 Kč na 26 Kč). </w:t>
      </w:r>
      <w:r w:rsidR="00794C0B" w:rsidRPr="00BD37D0">
        <w:t>U všech jednorázových služeb zpřístupnění dochází v</w:t>
      </w:r>
      <w:r w:rsidRPr="00BD37D0">
        <w:t xml:space="preserve"> průměru k poklesu </w:t>
      </w:r>
      <w:r w:rsidR="00794C0B" w:rsidRPr="00BD37D0">
        <w:t>cen</w:t>
      </w:r>
      <w:r w:rsidRPr="00BD37D0">
        <w:t xml:space="preserve"> o cca 3 %</w:t>
      </w:r>
      <w:r w:rsidR="00794C0B" w:rsidRPr="00BD37D0">
        <w:t>, v případě jednorázových služeb kolokace k mírnému poklesu ve výši 0,3 %. Výrazněji, v průměru o 7,5 %, klesají měsíční ceny kolokace. Nejdůležitější kolokační služba, pronájem kolokačního prostoru, klesá o 13 % (z 5 895 Kč na 5 127 Kč).</w:t>
      </w:r>
    </w:p>
    <w:p w:rsidR="000F73F5" w:rsidRDefault="000F73F5" w:rsidP="00287DAB">
      <w:pPr>
        <w:keepNext/>
        <w:spacing w:before="240" w:after="120"/>
        <w:ind w:firstLine="709"/>
        <w:jc w:val="both"/>
        <w:outlineLvl w:val="0"/>
        <w:rPr>
          <w:rFonts w:cs="Arial"/>
        </w:rPr>
      </w:pPr>
      <w:r w:rsidRPr="006E6444">
        <w:rPr>
          <w:rFonts w:cs="Arial"/>
        </w:rPr>
        <w:t>K části II. výroku</w:t>
      </w:r>
    </w:p>
    <w:p w:rsidR="00981971" w:rsidRDefault="00981971" w:rsidP="00C32177">
      <w:pPr>
        <w:spacing w:after="120"/>
        <w:ind w:firstLine="709"/>
        <w:jc w:val="both"/>
      </w:pPr>
      <w:r w:rsidRPr="0096466E">
        <w:t xml:space="preserve">Povinnost uplatňovat ceny </w:t>
      </w:r>
      <w:r>
        <w:t>podle bod</w:t>
      </w:r>
      <w:r w:rsidR="004A1B4C">
        <w:t>u</w:t>
      </w:r>
      <w:r w:rsidR="00A34A09">
        <w:t xml:space="preserve"> (1)</w:t>
      </w:r>
      <w:r w:rsidRPr="0096466E">
        <w:t xml:space="preserve"> části I. výroku tohoto rozhodnutí </w:t>
      </w:r>
      <w:r w:rsidR="00C43ECD">
        <w:t xml:space="preserve">nejpozději od prvního dne třetího měsíce následujícího po měsíci, v němž došlo k nabytí právní moci tohoto rozhodnutí, byla u stávajících smluvních vztahů </w:t>
      </w:r>
      <w:r w:rsidR="00C43ECD">
        <w:lastRenderedPageBreak/>
        <w:t>stanovena s ohledem na lhůty potřebné ke sjednání změny a k provedení administrativních procesů souvisejících se změnou příslušných velkoobchodních (přístupových) smluv.</w:t>
      </w:r>
    </w:p>
    <w:p w:rsidR="005E3506" w:rsidRDefault="00981971" w:rsidP="00C32177">
      <w:pPr>
        <w:spacing w:after="120"/>
        <w:ind w:firstLine="709"/>
        <w:jc w:val="both"/>
      </w:pPr>
      <w:r>
        <w:t xml:space="preserve">Povinnost sjednávat a uplatňovat nákladově orientované ceny podle bodu </w:t>
      </w:r>
      <w:r w:rsidR="004A1B4C">
        <w:t>(2)</w:t>
      </w:r>
      <w:r>
        <w:t xml:space="preserve"> části I. výroku souvisí </w:t>
      </w:r>
      <w:r w:rsidRPr="00D5516D">
        <w:t>s dobou implementace</w:t>
      </w:r>
      <w:r w:rsidR="00D5516D" w:rsidRPr="00A27C6F">
        <w:t xml:space="preserve"> určenou v rozhodnutí č. </w:t>
      </w:r>
      <w:r w:rsidR="00D5516D" w:rsidRPr="00BD37D0">
        <w:rPr>
          <w:rFonts w:cs="Arial"/>
        </w:rPr>
        <w:t>REM/</w:t>
      </w:r>
      <w:r w:rsidR="00486135" w:rsidRPr="00BD37D0">
        <w:rPr>
          <w:rFonts w:cs="Arial"/>
        </w:rPr>
        <w:t>4</w:t>
      </w:r>
      <w:r w:rsidR="00D5516D" w:rsidRPr="00BD37D0">
        <w:rPr>
          <w:rFonts w:cs="Arial"/>
        </w:rPr>
        <w:t>/XX.201</w:t>
      </w:r>
      <w:r w:rsidR="00C43ECD" w:rsidRPr="00BD37D0">
        <w:rPr>
          <w:rFonts w:cs="Arial"/>
        </w:rPr>
        <w:t>5</w:t>
      </w:r>
      <w:r w:rsidR="00D5516D" w:rsidRPr="00BD37D0">
        <w:rPr>
          <w:rFonts w:cs="Arial"/>
        </w:rPr>
        <w:t>-X</w:t>
      </w:r>
      <w:r w:rsidR="00D5516D" w:rsidRPr="00A27C6F">
        <w:rPr>
          <w:rFonts w:cs="Arial"/>
        </w:rPr>
        <w:t xml:space="preserve"> </w:t>
      </w:r>
      <w:r w:rsidR="00D5516D">
        <w:rPr>
          <w:rFonts w:cs="Arial"/>
        </w:rPr>
        <w:t>ke splnění povinnosti uveřejnit referenční nabídku</w:t>
      </w:r>
      <w:r w:rsidR="00D5516D" w:rsidRPr="00620EFC">
        <w:rPr>
          <w:rFonts w:cs="Arial"/>
        </w:rPr>
        <w:t xml:space="preserve"> </w:t>
      </w:r>
      <w:r w:rsidR="00D5516D">
        <w:rPr>
          <w:rFonts w:cs="Arial"/>
        </w:rPr>
        <w:t xml:space="preserve">přístupu </w:t>
      </w:r>
      <w:r w:rsidR="00D5516D" w:rsidRPr="00486135">
        <w:rPr>
          <w:rFonts w:cs="Arial"/>
        </w:rPr>
        <w:t>k </w:t>
      </w:r>
      <w:r w:rsidR="00C43ECD">
        <w:rPr>
          <w:rFonts w:cs="Arial"/>
        </w:rPr>
        <w:t>přiřazeným prostředkům</w:t>
      </w:r>
      <w:r w:rsidR="00486135" w:rsidRPr="00486135">
        <w:rPr>
          <w:rFonts w:cs="Arial"/>
        </w:rPr>
        <w:t>.</w:t>
      </w:r>
      <w:r w:rsidR="00486135">
        <w:rPr>
          <w:rFonts w:cs="Arial"/>
        </w:rPr>
        <w:t xml:space="preserve"> </w:t>
      </w:r>
      <w:r w:rsidR="00D5516D">
        <w:rPr>
          <w:rFonts w:cs="Arial"/>
        </w:rPr>
        <w:t>Tím bude zajištěna konzistence mezi povinností poskytovat třetím stranám službu přístupu</w:t>
      </w:r>
      <w:r w:rsidR="00C36A89" w:rsidRPr="00C36A89">
        <w:rPr>
          <w:rFonts w:cs="Arial"/>
        </w:rPr>
        <w:t xml:space="preserve"> </w:t>
      </w:r>
      <w:r w:rsidR="00C36A89">
        <w:rPr>
          <w:rFonts w:cs="Arial"/>
        </w:rPr>
        <w:t>k přiřazeným prostředkům</w:t>
      </w:r>
      <w:r w:rsidR="00D5516D">
        <w:rPr>
          <w:rFonts w:cs="Arial"/>
        </w:rPr>
        <w:t xml:space="preserve"> s povinností </w:t>
      </w:r>
      <w:r w:rsidR="00C36A89">
        <w:rPr>
          <w:rFonts w:cs="Arial"/>
        </w:rPr>
        <w:t>poskytovat tyto služby za správním orgánem určených podmínek, tedy v tomto případě za nákladově orientované ceny.</w:t>
      </w:r>
    </w:p>
    <w:p w:rsidR="000C5F18" w:rsidRDefault="005E3506" w:rsidP="00C32177">
      <w:pPr>
        <w:ind w:firstLine="709"/>
        <w:jc w:val="both"/>
      </w:pPr>
      <w:r>
        <w:t>Úřad ověří plnění povinností uvedených v bod</w:t>
      </w:r>
      <w:r w:rsidR="00C43ECD">
        <w:t>ě</w:t>
      </w:r>
      <w:r>
        <w:t xml:space="preserve"> (2) části I. výroku tohoto rozhodnutí na základě podkladů účastníka řízení, předaných Úřadu nejpozději v den zveřejnění cen relevantních služeb v referenční nabídce.</w:t>
      </w:r>
      <w:r w:rsidR="00F038F8">
        <w:t xml:space="preserve"> Povinnost podniku s významnou </w:t>
      </w:r>
      <w:r w:rsidR="00C32177">
        <w:t>tržní silou (v </w:t>
      </w:r>
      <w:r w:rsidR="00F038F8">
        <w:t>tomto případě tedy přímo účastníka řízení) prokazovat Úřadu na jeho žádost plnění povinnosti nákladové orientace cen vyplývá i z § 60 odst. 1 Zákona.</w:t>
      </w:r>
    </w:p>
    <w:p w:rsidR="000C5F18" w:rsidRPr="0096466E" w:rsidRDefault="000C5F18" w:rsidP="00C32177">
      <w:pPr>
        <w:spacing w:before="240" w:after="120"/>
        <w:ind w:firstLine="709"/>
        <w:jc w:val="both"/>
        <w:outlineLvl w:val="0"/>
        <w:rPr>
          <w:rFonts w:cs="Arial"/>
        </w:rPr>
      </w:pPr>
      <w:r w:rsidRPr="0096466E">
        <w:rPr>
          <w:rFonts w:cs="Arial"/>
        </w:rPr>
        <w:t>K části III. výroku</w:t>
      </w:r>
    </w:p>
    <w:p w:rsidR="000C5F18" w:rsidRPr="0096466E" w:rsidRDefault="000C5F18" w:rsidP="00C32177">
      <w:pPr>
        <w:spacing w:after="120"/>
        <w:ind w:firstLine="709"/>
        <w:jc w:val="both"/>
      </w:pPr>
      <w:r w:rsidRPr="0096466E">
        <w:t>S ohledem na ustanovení § 101 písm. e) Správního řádu a § 51 odst. 5 a 8 Zákona vydal správní orgán nové rozhodnutí ve věci uložení povinnosti podniku s významnou tržní silou na předmětném relevantním trhu.</w:t>
      </w:r>
    </w:p>
    <w:p w:rsidR="00981971" w:rsidRDefault="000C5F18" w:rsidP="00C32177">
      <w:pPr>
        <w:ind w:firstLine="709"/>
        <w:jc w:val="both"/>
      </w:pPr>
      <w:r w:rsidRPr="0096466E">
        <w:t xml:space="preserve">Původní rozhodnutí </w:t>
      </w:r>
      <w:r w:rsidRPr="000C5F18">
        <w:t>č. CEN/4/10.2010-78, čj. 76 668/2010-611/IV.vyř. ze dne 12. října 2010, rozhodnutí č. CEN/4/06.2012-1, čj. ČTÚ-41 894/2012-611/IV.vyř. ze dne 21. června 2012 a rozhodnutí č. CEN/4/06.2013-3, čj. ČTÚ-17 607/2013-611 ze dne 13. června 2013</w:t>
      </w:r>
      <w:r w:rsidRPr="0096466E">
        <w:t>, kterým</w:t>
      </w:r>
      <w:r>
        <w:t>i</w:t>
      </w:r>
      <w:r w:rsidRPr="0096466E">
        <w:t xml:space="preserve"> byly účastníku řízení uloženy povinnosti související s regulací cen, pozbývají podle</w:t>
      </w:r>
      <w:r>
        <w:t xml:space="preserve"> § 102 odst. 9 Správního řádu vykonatelnosti a jiných právních účinků dnem nabytí právní moci tohoto rozhodnutí.</w:t>
      </w:r>
    </w:p>
    <w:p w:rsidR="00821210" w:rsidRDefault="00821210" w:rsidP="00A27C6F">
      <w:pPr>
        <w:pStyle w:val="Zkladntext"/>
        <w:keepNext/>
        <w:spacing w:before="240" w:after="240"/>
        <w:jc w:val="center"/>
        <w:rPr>
          <w:sz w:val="22"/>
        </w:rPr>
      </w:pPr>
      <w:r>
        <w:rPr>
          <w:sz w:val="22"/>
        </w:rPr>
        <w:t>***</w:t>
      </w:r>
    </w:p>
    <w:p w:rsidR="00C70A39" w:rsidRPr="009F20DE" w:rsidRDefault="003F1BEC" w:rsidP="008A0C24">
      <w:pPr>
        <w:spacing w:after="120"/>
        <w:ind w:firstLine="709"/>
        <w:jc w:val="both"/>
      </w:pPr>
      <w:r w:rsidRPr="009F20DE">
        <w:t>S ohledem na uvedené bylo</w:t>
      </w:r>
      <w:r w:rsidR="006B66F5" w:rsidRPr="009F20DE">
        <w:t xml:space="preserve"> dne</w:t>
      </w:r>
      <w:r w:rsidRPr="009F20DE">
        <w:t xml:space="preserve"> </w:t>
      </w:r>
      <w:r w:rsidR="0005189E" w:rsidRPr="009F20DE">
        <w:t>30</w:t>
      </w:r>
      <w:r w:rsidR="007124A1" w:rsidRPr="009F20DE">
        <w:t>.</w:t>
      </w:r>
      <w:r w:rsidR="000C5F18" w:rsidRPr="009F20DE">
        <w:t xml:space="preserve"> </w:t>
      </w:r>
      <w:r w:rsidR="0005189E" w:rsidRPr="009F20DE">
        <w:t>ledna</w:t>
      </w:r>
      <w:r w:rsidR="00F73675" w:rsidRPr="009F20DE">
        <w:t xml:space="preserve"> 201</w:t>
      </w:r>
      <w:r w:rsidR="003304AB" w:rsidRPr="009F20DE">
        <w:t>5</w:t>
      </w:r>
      <w:r w:rsidRPr="009F20DE">
        <w:t xml:space="preserve"> s účastníkem řízení zahájeno správní řízení </w:t>
      </w:r>
      <w:r w:rsidR="00543CC2" w:rsidRPr="009F20DE">
        <w:t xml:space="preserve">ve věci </w:t>
      </w:r>
      <w:r w:rsidR="00BA377F" w:rsidRPr="009F20DE">
        <w:t>uložení</w:t>
      </w:r>
      <w:r w:rsidR="00543CC2" w:rsidRPr="009F20DE">
        <w:t xml:space="preserve"> povinnosti </w:t>
      </w:r>
      <w:r w:rsidR="00870A71" w:rsidRPr="009F20DE">
        <w:t>související s regulací cen podniku s významnou tržní silou.</w:t>
      </w:r>
      <w:r w:rsidR="004D7A46" w:rsidRPr="009F20DE">
        <w:t xml:space="preserve"> </w:t>
      </w:r>
      <w:r w:rsidR="00C70A39" w:rsidRPr="009F20DE">
        <w:t>Účastník řízení byl správním orgánem v zaslaném oznámení o zahájení správn</w:t>
      </w:r>
      <w:r w:rsidR="006E6444" w:rsidRPr="009F20DE">
        <w:t>ího řízení vyzván k vyjádření a </w:t>
      </w:r>
      <w:r w:rsidR="00C70A39" w:rsidRPr="009F20DE">
        <w:t>navržení důk</w:t>
      </w:r>
      <w:r w:rsidR="00543CC2" w:rsidRPr="009F20DE">
        <w:t xml:space="preserve">azů a byla mu poskytnuta lhůta </w:t>
      </w:r>
      <w:r w:rsidR="00015B0A" w:rsidRPr="009F20DE">
        <w:t>10</w:t>
      </w:r>
      <w:r w:rsidR="00E50799" w:rsidRPr="009F20DE">
        <w:t xml:space="preserve"> dnů ode dne </w:t>
      </w:r>
      <w:r w:rsidR="00E50799" w:rsidRPr="009F20DE">
        <w:lastRenderedPageBreak/>
        <w:t>doručení oznámení.</w:t>
      </w:r>
      <w:r w:rsidR="00015B0A" w:rsidRPr="009F20DE">
        <w:t xml:space="preserve"> Účastník řízení následně dopisem ze dne 6. úno</w:t>
      </w:r>
      <w:r w:rsidR="00FF1F1A" w:rsidRPr="009F20DE">
        <w:t>ra 2015 požádal správní orgán o </w:t>
      </w:r>
      <w:r w:rsidR="00015B0A" w:rsidRPr="009F20DE">
        <w:t>prodloužení lhůty na vyjádření do 20. února 2015 a správní orgán této žádosti vyhověl.</w:t>
      </w:r>
    </w:p>
    <w:p w:rsidR="00893315" w:rsidRPr="009F20DE" w:rsidRDefault="0005189E" w:rsidP="00893315">
      <w:pPr>
        <w:spacing w:after="120"/>
        <w:ind w:firstLine="709"/>
        <w:jc w:val="both"/>
      </w:pPr>
      <w:r w:rsidRPr="009F20DE">
        <w:t>Ú</w:t>
      </w:r>
      <w:r w:rsidR="000C5F18" w:rsidRPr="009F20DE">
        <w:t xml:space="preserve">častník řízení zaslal </w:t>
      </w:r>
      <w:r w:rsidRPr="009F20DE">
        <w:t xml:space="preserve">ve stanovené lhůtě </w:t>
      </w:r>
      <w:r w:rsidR="000C5F18" w:rsidRPr="009F20DE">
        <w:t xml:space="preserve">k zahájenému správnímu řízení </w:t>
      </w:r>
      <w:r w:rsidR="00893315" w:rsidRPr="009F20DE">
        <w:t>vyjádření</w:t>
      </w:r>
      <w:r w:rsidR="000C5F18" w:rsidRPr="009F20DE">
        <w:t xml:space="preserve"> dne </w:t>
      </w:r>
      <w:r w:rsidRPr="009F20DE">
        <w:t>19</w:t>
      </w:r>
      <w:r w:rsidR="000C5F18" w:rsidRPr="009F20DE">
        <w:t xml:space="preserve">. </w:t>
      </w:r>
      <w:r w:rsidRPr="009F20DE">
        <w:t>února</w:t>
      </w:r>
      <w:r w:rsidR="00F73675" w:rsidRPr="009F20DE">
        <w:t xml:space="preserve"> 201</w:t>
      </w:r>
      <w:r w:rsidR="003304AB" w:rsidRPr="009F20DE">
        <w:t>5</w:t>
      </w:r>
      <w:r w:rsidR="000C5F18" w:rsidRPr="009F20DE">
        <w:t>.</w:t>
      </w:r>
      <w:r w:rsidR="00893315" w:rsidRPr="009F20DE">
        <w:t xml:space="preserve"> Ve vyjádření</w:t>
      </w:r>
      <w:r w:rsidRPr="009F20DE">
        <w:t xml:space="preserve"> </w:t>
      </w:r>
      <w:r w:rsidR="00893315" w:rsidRPr="009F20DE">
        <w:t>účastník řízení uvedl, že nesouhlasí,</w:t>
      </w:r>
      <w:r w:rsidR="00563168" w:rsidRPr="009F20DE">
        <w:t xml:space="preserve"> aby v</w:t>
      </w:r>
      <w:r w:rsidR="00015B0A" w:rsidRPr="009F20DE">
        <w:t> části I</w:t>
      </w:r>
      <w:r w:rsidR="00893315" w:rsidRPr="009F20DE">
        <w:t>.</w:t>
      </w:r>
      <w:r w:rsidR="00015B0A" w:rsidRPr="009F20DE">
        <w:t xml:space="preserve"> bodu 2 výroku tohoto rozhodnutí byly v závorce ve výčtu typů</w:t>
      </w:r>
      <w:r w:rsidR="00563168" w:rsidRPr="009F20DE">
        <w:t xml:space="preserve"> pasivní</w:t>
      </w:r>
      <w:r w:rsidR="00015B0A" w:rsidRPr="009F20DE">
        <w:t>ch prvků</w:t>
      </w:r>
      <w:r w:rsidR="00563168" w:rsidRPr="009F20DE">
        <w:t xml:space="preserve"> inženýrských sítí jmenovitě uvedeny i stožáry.</w:t>
      </w:r>
      <w:r w:rsidR="00893315" w:rsidRPr="009F20DE">
        <w:t xml:space="preserve"> Svou připomínku účastník řízení odůvodnil odkazem na návrh rozhodnutí REM/4/XX.2015-YY, podle kterého nejsou stožáry předmětem zpřístupnění (část I., bod 1, odst. d)).</w:t>
      </w:r>
      <w:r w:rsidR="00563168" w:rsidRPr="009F20DE">
        <w:t xml:space="preserve"> </w:t>
      </w:r>
    </w:p>
    <w:p w:rsidR="00543CC2" w:rsidRPr="009F20DE" w:rsidRDefault="009C5EEC" w:rsidP="00A27C6F">
      <w:pPr>
        <w:ind w:firstLine="709"/>
        <w:jc w:val="both"/>
      </w:pPr>
      <w:r w:rsidRPr="009F20DE">
        <w:t>Správní orgán</w:t>
      </w:r>
      <w:r w:rsidR="00563168" w:rsidRPr="009F20DE">
        <w:t xml:space="preserve"> připomínku </w:t>
      </w:r>
      <w:r w:rsidR="00893315" w:rsidRPr="009F20DE">
        <w:t xml:space="preserve">účastníka řízení </w:t>
      </w:r>
      <w:r w:rsidR="00563168" w:rsidRPr="009F20DE">
        <w:t xml:space="preserve">akceptoval a </w:t>
      </w:r>
      <w:r w:rsidR="00893315" w:rsidRPr="009F20DE">
        <w:t xml:space="preserve">návrh </w:t>
      </w:r>
      <w:r w:rsidR="00563168" w:rsidRPr="009F20DE">
        <w:t xml:space="preserve">rozhodnutí o ceně </w:t>
      </w:r>
      <w:r w:rsidR="00893315" w:rsidRPr="009F20DE">
        <w:t>upravil tak, že z předmětné části výroku smazal slovo „stožáry“. V této věci dále správní orgán dodává, že povinnost stanovit nákladově orientované ceny se</w:t>
      </w:r>
      <w:r w:rsidR="00FF1F1A" w:rsidRPr="009F20DE">
        <w:t>, v souladu se závěry analýzy relevantního trhu č. 4 (viz zejména čl. 3 písm. f) na str. 2 analýzy a str. 115 analýzy),</w:t>
      </w:r>
      <w:r w:rsidR="00893315" w:rsidRPr="009F20DE">
        <w:t xml:space="preserve"> týká všech typů přiřazených prostředků</w:t>
      </w:r>
      <w:r w:rsidR="00FF1F1A" w:rsidRPr="009F20DE">
        <w:t xml:space="preserve"> (prvků pasivní infrastruktury), na které se vztahuje povinnost zpřístupnění, uložená účastníku řízení v </w:t>
      </w:r>
      <w:r w:rsidR="00CC57BC" w:rsidRPr="009F20DE">
        <w:t>samostatném</w:t>
      </w:r>
      <w:r w:rsidR="00FF1F1A" w:rsidRPr="009F20DE">
        <w:t xml:space="preserve"> správním řízení</w:t>
      </w:r>
      <w:r w:rsidR="00CC57BC" w:rsidRPr="009F20DE">
        <w:t xml:space="preserve"> ve věci uložení povinností podniku s významnou tržní silou.</w:t>
      </w:r>
    </w:p>
    <w:p w:rsidR="00543CC2" w:rsidRPr="004104B5" w:rsidRDefault="00543CC2" w:rsidP="00A27C6F">
      <w:pPr>
        <w:spacing w:before="240" w:after="240"/>
        <w:jc w:val="center"/>
        <w:rPr>
          <w:i/>
        </w:rPr>
      </w:pPr>
      <w:r w:rsidRPr="004104B5">
        <w:rPr>
          <w:i/>
        </w:rPr>
        <w:t>***</w:t>
      </w:r>
    </w:p>
    <w:p w:rsidR="00EB0E83" w:rsidRPr="00A27C6F" w:rsidRDefault="001029BD" w:rsidP="000C5F18">
      <w:pPr>
        <w:spacing w:after="120"/>
        <w:jc w:val="both"/>
        <w:rPr>
          <w:i/>
        </w:rPr>
      </w:pPr>
      <w:r w:rsidRPr="004104B5">
        <w:rPr>
          <w:rFonts w:cs="Arial"/>
          <w:i/>
        </w:rPr>
        <w:tab/>
      </w:r>
      <w:r w:rsidRPr="00A27C6F">
        <w:rPr>
          <w:i/>
        </w:rPr>
        <w:t xml:space="preserve">Na základě § 130 Zákona a podle Pravidel Českého telekomunikačního úřadu pro vedení konzultací s dotčenými subjekty na diskusním </w:t>
      </w:r>
      <w:r w:rsidRPr="00BD37D0">
        <w:rPr>
          <w:i/>
        </w:rPr>
        <w:t>místě</w:t>
      </w:r>
      <w:r w:rsidR="00B538E7" w:rsidRPr="00BD37D0">
        <w:rPr>
          <w:i/>
        </w:rPr>
        <w:t xml:space="preserve"> zveřejnil návrh rozhodnutí</w:t>
      </w:r>
      <w:r w:rsidRPr="00BD37D0">
        <w:rPr>
          <w:i/>
        </w:rPr>
        <w:t xml:space="preserve"> včetně výzvy k uplatnění připomínek na </w:t>
      </w:r>
      <w:r w:rsidR="00585B0C" w:rsidRPr="00BD37D0">
        <w:rPr>
          <w:i/>
        </w:rPr>
        <w:t>diskusním místě dne</w:t>
      </w:r>
      <w:r w:rsidR="00896535" w:rsidRPr="00BD37D0">
        <w:rPr>
          <w:i/>
        </w:rPr>
        <w:t xml:space="preserve"> </w:t>
      </w:r>
      <w:r w:rsidR="00BA377F" w:rsidRPr="00BD37D0">
        <w:rPr>
          <w:i/>
        </w:rPr>
        <w:t>XX</w:t>
      </w:r>
      <w:r w:rsidR="007C064C" w:rsidRPr="00BD37D0">
        <w:rPr>
          <w:i/>
        </w:rPr>
        <w:t xml:space="preserve">. </w:t>
      </w:r>
      <w:r w:rsidR="000C5F18" w:rsidRPr="00BD37D0">
        <w:rPr>
          <w:i/>
        </w:rPr>
        <w:t>XXXX</w:t>
      </w:r>
      <w:r w:rsidR="00041F07" w:rsidRPr="00BD37D0">
        <w:rPr>
          <w:i/>
        </w:rPr>
        <w:t xml:space="preserve"> </w:t>
      </w:r>
      <w:r w:rsidR="00F73675" w:rsidRPr="00BD37D0">
        <w:rPr>
          <w:i/>
        </w:rPr>
        <w:t>201</w:t>
      </w:r>
      <w:r w:rsidR="003304AB" w:rsidRPr="00BD37D0">
        <w:rPr>
          <w:i/>
        </w:rPr>
        <w:t>5</w:t>
      </w:r>
      <w:r w:rsidR="00F73675" w:rsidRPr="00BD37D0">
        <w:rPr>
          <w:i/>
        </w:rPr>
        <w:t>.</w:t>
      </w:r>
      <w:r w:rsidRPr="00BD37D0">
        <w:rPr>
          <w:i/>
        </w:rPr>
        <w:t xml:space="preserve"> Připomínky k návrhu rozhodnutí </w:t>
      </w:r>
      <w:r w:rsidR="00585B0C" w:rsidRPr="00BD37D0">
        <w:rPr>
          <w:i/>
        </w:rPr>
        <w:t xml:space="preserve">bylo možno uplatnit do </w:t>
      </w:r>
      <w:r w:rsidR="00BA377F" w:rsidRPr="00BD37D0">
        <w:rPr>
          <w:i/>
        </w:rPr>
        <w:t>XX</w:t>
      </w:r>
      <w:r w:rsidR="007C064C" w:rsidRPr="00BD37D0">
        <w:rPr>
          <w:i/>
        </w:rPr>
        <w:t xml:space="preserve">. </w:t>
      </w:r>
      <w:r w:rsidR="000C5F18" w:rsidRPr="00BD37D0">
        <w:rPr>
          <w:i/>
        </w:rPr>
        <w:t>XXXX</w:t>
      </w:r>
      <w:r w:rsidR="00041F07" w:rsidRPr="00BD37D0">
        <w:rPr>
          <w:i/>
        </w:rPr>
        <w:t xml:space="preserve"> </w:t>
      </w:r>
      <w:r w:rsidR="00F73675" w:rsidRPr="00BD37D0">
        <w:rPr>
          <w:i/>
        </w:rPr>
        <w:t>201</w:t>
      </w:r>
      <w:r w:rsidR="00F038F8" w:rsidRPr="00BD37D0">
        <w:rPr>
          <w:i/>
        </w:rPr>
        <w:t>5</w:t>
      </w:r>
      <w:r w:rsidR="00615A23" w:rsidRPr="00BD37D0">
        <w:rPr>
          <w:i/>
        </w:rPr>
        <w:t xml:space="preserve">. </w:t>
      </w:r>
      <w:r w:rsidR="003940F8" w:rsidRPr="00BD37D0">
        <w:rPr>
          <w:i/>
        </w:rPr>
        <w:t>V této lhůtě</w:t>
      </w:r>
      <w:r w:rsidR="00896535" w:rsidRPr="00BD37D0">
        <w:rPr>
          <w:i/>
        </w:rPr>
        <w:t xml:space="preserve"> uplatnil</w:t>
      </w:r>
      <w:r w:rsidR="00BA377F" w:rsidRPr="00BD37D0">
        <w:rPr>
          <w:i/>
        </w:rPr>
        <w:t>i</w:t>
      </w:r>
      <w:r w:rsidR="00896535" w:rsidRPr="00BD37D0">
        <w:rPr>
          <w:i/>
        </w:rPr>
        <w:t xml:space="preserve"> </w:t>
      </w:r>
      <w:r w:rsidR="0023281E" w:rsidRPr="00BD37D0">
        <w:rPr>
          <w:i/>
        </w:rPr>
        <w:t>připomínk</w:t>
      </w:r>
      <w:r w:rsidR="00870A71" w:rsidRPr="00BD37D0">
        <w:rPr>
          <w:i/>
        </w:rPr>
        <w:t xml:space="preserve">y XX dotčené subjekty. </w:t>
      </w:r>
    </w:p>
    <w:p w:rsidR="002616DF" w:rsidRPr="00BD37D0" w:rsidRDefault="00F261D1" w:rsidP="008D4C4A">
      <w:pPr>
        <w:spacing w:beforeLines="100" w:before="240" w:after="80"/>
        <w:ind w:firstLine="709"/>
        <w:jc w:val="both"/>
        <w:rPr>
          <w:i/>
        </w:rPr>
      </w:pPr>
      <w:r w:rsidRPr="00A27C6F">
        <w:rPr>
          <w:i/>
        </w:rPr>
        <w:t xml:space="preserve">Vypořádání připomínek </w:t>
      </w:r>
      <w:r w:rsidR="00F038F8" w:rsidRPr="00287DAB">
        <w:rPr>
          <w:i/>
        </w:rPr>
        <w:t>zveřejnil</w:t>
      </w:r>
      <w:r w:rsidRPr="00A27C6F">
        <w:rPr>
          <w:i/>
        </w:rPr>
        <w:t xml:space="preserve"> správní orgán na diskusním místě na svých internetových stránkách</w:t>
      </w:r>
      <w:r w:rsidR="00D24876" w:rsidRPr="00A27C6F">
        <w:rPr>
          <w:i/>
        </w:rPr>
        <w:t xml:space="preserve"> dne </w:t>
      </w:r>
      <w:r w:rsidR="00DC2F31" w:rsidRPr="00BD37D0">
        <w:rPr>
          <w:i/>
        </w:rPr>
        <w:t>XX</w:t>
      </w:r>
      <w:r w:rsidR="007C064C" w:rsidRPr="00BD37D0">
        <w:rPr>
          <w:i/>
        </w:rPr>
        <w:t xml:space="preserve">. </w:t>
      </w:r>
      <w:r w:rsidR="000C5F18" w:rsidRPr="00BD37D0">
        <w:rPr>
          <w:i/>
        </w:rPr>
        <w:t>XXXX</w:t>
      </w:r>
      <w:r w:rsidR="00041F07" w:rsidRPr="00BD37D0">
        <w:rPr>
          <w:i/>
        </w:rPr>
        <w:t xml:space="preserve"> </w:t>
      </w:r>
      <w:r w:rsidR="00F73675" w:rsidRPr="00BD37D0">
        <w:rPr>
          <w:i/>
        </w:rPr>
        <w:t>201</w:t>
      </w:r>
      <w:r w:rsidR="00F038F8" w:rsidRPr="00BD37D0">
        <w:rPr>
          <w:i/>
        </w:rPr>
        <w:t>5</w:t>
      </w:r>
      <w:r w:rsidR="00E50799" w:rsidRPr="00BD37D0">
        <w:rPr>
          <w:i/>
        </w:rPr>
        <w:t>.</w:t>
      </w:r>
    </w:p>
    <w:p w:rsidR="004D3D3F" w:rsidRPr="00BD37D0" w:rsidRDefault="004D3D3F" w:rsidP="00A27C6F">
      <w:pPr>
        <w:spacing w:before="240" w:after="240"/>
        <w:jc w:val="center"/>
        <w:rPr>
          <w:i/>
        </w:rPr>
      </w:pPr>
      <w:r w:rsidRPr="00BD37D0">
        <w:rPr>
          <w:i/>
        </w:rPr>
        <w:t>***</w:t>
      </w:r>
    </w:p>
    <w:p w:rsidR="00D24876" w:rsidRPr="00BD37D0" w:rsidRDefault="00E201EB" w:rsidP="00A27C6F">
      <w:pPr>
        <w:spacing w:before="240"/>
        <w:ind w:firstLine="709"/>
        <w:jc w:val="both"/>
        <w:rPr>
          <w:i/>
        </w:rPr>
      </w:pPr>
      <w:r w:rsidRPr="00BD37D0">
        <w:rPr>
          <w:i/>
        </w:rPr>
        <w:t>Podle</w:t>
      </w:r>
      <w:r w:rsidR="00D24876" w:rsidRPr="00BD37D0">
        <w:rPr>
          <w:i/>
        </w:rPr>
        <w:t xml:space="preserve"> </w:t>
      </w:r>
      <w:r w:rsidR="00E02615" w:rsidRPr="00BD37D0">
        <w:rPr>
          <w:i/>
        </w:rPr>
        <w:t xml:space="preserve">§ 130 odst. 3 Zákona konzultoval správní orgán navrhované rozhodnutí rovněž s Úřadem pro ochranu hospodářské soutěže. Úřad pro ochranu hospodářské soutěže </w:t>
      </w:r>
      <w:r w:rsidR="00DC2F31" w:rsidRPr="00BD37D0">
        <w:rPr>
          <w:i/>
        </w:rPr>
        <w:t>uplatnil/</w:t>
      </w:r>
      <w:r w:rsidR="00E02615" w:rsidRPr="00BD37D0">
        <w:rPr>
          <w:i/>
        </w:rPr>
        <w:t xml:space="preserve">neuplatnil </w:t>
      </w:r>
      <w:r w:rsidR="00E35110" w:rsidRPr="00BD37D0">
        <w:rPr>
          <w:i/>
        </w:rPr>
        <w:t>ve svém vyjádření z</w:t>
      </w:r>
      <w:r w:rsidR="00CF685C" w:rsidRPr="00BD37D0">
        <w:rPr>
          <w:i/>
        </w:rPr>
        <w:t>e dne</w:t>
      </w:r>
      <w:r w:rsidR="00E35110" w:rsidRPr="00BD37D0">
        <w:rPr>
          <w:i/>
        </w:rPr>
        <w:t xml:space="preserve"> </w:t>
      </w:r>
      <w:r w:rsidR="00DC2F31" w:rsidRPr="00BD37D0">
        <w:rPr>
          <w:i/>
        </w:rPr>
        <w:t>XX</w:t>
      </w:r>
      <w:r w:rsidR="003F2447" w:rsidRPr="00BD37D0">
        <w:rPr>
          <w:i/>
        </w:rPr>
        <w:t>.</w:t>
      </w:r>
      <w:r w:rsidR="0097308C" w:rsidRPr="00BD37D0">
        <w:rPr>
          <w:i/>
        </w:rPr>
        <w:t xml:space="preserve"> </w:t>
      </w:r>
      <w:r w:rsidR="000C5F18" w:rsidRPr="00BD37D0">
        <w:rPr>
          <w:i/>
        </w:rPr>
        <w:t>XXXX</w:t>
      </w:r>
      <w:r w:rsidR="003F2447" w:rsidRPr="00BD37D0">
        <w:rPr>
          <w:i/>
        </w:rPr>
        <w:t xml:space="preserve"> </w:t>
      </w:r>
      <w:r w:rsidR="00F73675" w:rsidRPr="00BD37D0">
        <w:rPr>
          <w:i/>
        </w:rPr>
        <w:t>201</w:t>
      </w:r>
      <w:r w:rsidR="00F038F8" w:rsidRPr="00BD37D0">
        <w:rPr>
          <w:i/>
        </w:rPr>
        <w:t>5</w:t>
      </w:r>
      <w:r w:rsidR="00F73675" w:rsidRPr="00BD37D0">
        <w:rPr>
          <w:i/>
        </w:rPr>
        <w:t xml:space="preserve"> </w:t>
      </w:r>
      <w:r w:rsidR="003F2447" w:rsidRPr="00BD37D0">
        <w:rPr>
          <w:i/>
        </w:rPr>
        <w:t>žád</w:t>
      </w:r>
      <w:r w:rsidR="009958DA" w:rsidRPr="00BD37D0">
        <w:rPr>
          <w:i/>
        </w:rPr>
        <w:t>né</w:t>
      </w:r>
      <w:r w:rsidR="000C5F18" w:rsidRPr="00BD37D0">
        <w:rPr>
          <w:i/>
        </w:rPr>
        <w:t>/následující</w:t>
      </w:r>
      <w:r w:rsidR="00E02615" w:rsidRPr="00BD37D0">
        <w:rPr>
          <w:i/>
        </w:rPr>
        <w:t xml:space="preserve"> připomínky.</w:t>
      </w:r>
    </w:p>
    <w:p w:rsidR="00615A23" w:rsidRPr="00BD37D0" w:rsidRDefault="00615A23" w:rsidP="00A27C6F">
      <w:pPr>
        <w:spacing w:before="240" w:after="240"/>
        <w:jc w:val="center"/>
        <w:rPr>
          <w:rFonts w:cs="Arial"/>
        </w:rPr>
      </w:pPr>
      <w:r w:rsidRPr="00BD37D0">
        <w:rPr>
          <w:rFonts w:cs="Arial"/>
        </w:rPr>
        <w:lastRenderedPageBreak/>
        <w:t>***</w:t>
      </w:r>
    </w:p>
    <w:p w:rsidR="00615A23" w:rsidRPr="00BD37D0" w:rsidRDefault="004D3D3F" w:rsidP="00A27C6F">
      <w:pPr>
        <w:spacing w:before="240"/>
        <w:ind w:firstLine="709"/>
        <w:jc w:val="both"/>
        <w:rPr>
          <w:i/>
        </w:rPr>
      </w:pPr>
      <w:r w:rsidRPr="00BD37D0">
        <w:rPr>
          <w:i/>
        </w:rPr>
        <w:t xml:space="preserve">Správní orgán podle § 131 Zákona konzultoval návrh rozhodnutí s Evropskou komisí. Evropská komise dopisem ze dne </w:t>
      </w:r>
      <w:r w:rsidR="00A32EE9" w:rsidRPr="00BD37D0">
        <w:rPr>
          <w:i/>
        </w:rPr>
        <w:t>XX</w:t>
      </w:r>
      <w:r w:rsidRPr="00BD37D0">
        <w:rPr>
          <w:i/>
        </w:rPr>
        <w:t xml:space="preserve">. </w:t>
      </w:r>
      <w:r w:rsidR="00CD12CF" w:rsidRPr="00BD37D0">
        <w:rPr>
          <w:i/>
        </w:rPr>
        <w:t>XXXX</w:t>
      </w:r>
      <w:r w:rsidR="0074479E" w:rsidRPr="00BD37D0">
        <w:rPr>
          <w:i/>
        </w:rPr>
        <w:t xml:space="preserve"> </w:t>
      </w:r>
      <w:r w:rsidR="00F73675" w:rsidRPr="00BD37D0">
        <w:rPr>
          <w:i/>
        </w:rPr>
        <w:t>201</w:t>
      </w:r>
      <w:r w:rsidR="00F038F8" w:rsidRPr="00BD37D0">
        <w:rPr>
          <w:i/>
        </w:rPr>
        <w:t>5</w:t>
      </w:r>
      <w:r w:rsidR="00CD12CF" w:rsidRPr="00BD37D0">
        <w:t xml:space="preserve"> </w:t>
      </w:r>
      <w:r w:rsidR="00CD12CF" w:rsidRPr="00BD37D0">
        <w:rPr>
          <w:i/>
        </w:rPr>
        <w:t>uvedla, že k návrhu rozhodnutí ne/má připomínky.</w:t>
      </w:r>
    </w:p>
    <w:p w:rsidR="00E201EB" w:rsidRPr="00BD37D0" w:rsidRDefault="00E201EB" w:rsidP="00A27C6F">
      <w:pPr>
        <w:spacing w:before="240" w:after="240"/>
        <w:jc w:val="center"/>
        <w:rPr>
          <w:rFonts w:cs="Arial"/>
        </w:rPr>
      </w:pPr>
      <w:r w:rsidRPr="00BD37D0">
        <w:rPr>
          <w:rFonts w:cs="Arial"/>
        </w:rPr>
        <w:t>***</w:t>
      </w:r>
    </w:p>
    <w:p w:rsidR="00906892" w:rsidRPr="00A27C6F" w:rsidRDefault="000C5F18" w:rsidP="00A27C6F">
      <w:pPr>
        <w:spacing w:before="240"/>
        <w:jc w:val="both"/>
        <w:rPr>
          <w:rFonts w:cs="Arial"/>
          <w:i/>
        </w:rPr>
      </w:pPr>
      <w:r w:rsidRPr="00BD37D0">
        <w:rPr>
          <w:rFonts w:cs="Arial"/>
        </w:rPr>
        <w:tab/>
      </w:r>
      <w:r w:rsidR="004D3D3F" w:rsidRPr="00BD37D0">
        <w:rPr>
          <w:rFonts w:cs="Arial"/>
          <w:i/>
        </w:rPr>
        <w:t>Účastníku řízení byla dána možnost, aby se vyjádřil k podkladům rozhodnutí a navrhl případné doplnění. Účastník řízení nahlédl do spisu</w:t>
      </w:r>
      <w:r w:rsidR="00CD12CF" w:rsidRPr="00BD37D0">
        <w:rPr>
          <w:rFonts w:cs="Arial"/>
          <w:i/>
        </w:rPr>
        <w:t xml:space="preserve"> před vydáním rozhodnutí dne</w:t>
      </w:r>
      <w:r w:rsidR="004D3D3F" w:rsidRPr="00BD37D0">
        <w:rPr>
          <w:rFonts w:cs="Arial"/>
          <w:i/>
        </w:rPr>
        <w:t xml:space="preserve"> </w:t>
      </w:r>
      <w:r w:rsidR="00A32EE9" w:rsidRPr="00BD37D0">
        <w:rPr>
          <w:rFonts w:cs="Arial"/>
          <w:i/>
        </w:rPr>
        <w:t>XX</w:t>
      </w:r>
      <w:r w:rsidR="004D3D3F" w:rsidRPr="00BD37D0">
        <w:rPr>
          <w:rFonts w:cs="Arial"/>
          <w:i/>
        </w:rPr>
        <w:t xml:space="preserve">. </w:t>
      </w:r>
      <w:r w:rsidR="00CD12CF" w:rsidRPr="00BD37D0">
        <w:rPr>
          <w:rFonts w:cs="Arial"/>
          <w:i/>
        </w:rPr>
        <w:t>XXXX</w:t>
      </w:r>
      <w:r w:rsidR="00F73675" w:rsidRPr="00BD37D0">
        <w:rPr>
          <w:rFonts w:cs="Arial"/>
          <w:i/>
        </w:rPr>
        <w:t xml:space="preserve"> 201</w:t>
      </w:r>
      <w:r w:rsidR="00F038F8" w:rsidRPr="00BD37D0">
        <w:rPr>
          <w:rFonts w:cs="Arial"/>
          <w:i/>
        </w:rPr>
        <w:t>5</w:t>
      </w:r>
      <w:r w:rsidR="00CD12CF" w:rsidRPr="00BD37D0">
        <w:rPr>
          <w:rFonts w:cs="Arial"/>
          <w:i/>
        </w:rPr>
        <w:t xml:space="preserve"> a ne/měl žádné/následující připomínky.</w:t>
      </w:r>
    </w:p>
    <w:p w:rsidR="003F1BEC" w:rsidRPr="00A32EE9" w:rsidRDefault="003F1BEC" w:rsidP="00A27C6F">
      <w:pPr>
        <w:spacing w:before="480" w:after="240"/>
        <w:jc w:val="center"/>
        <w:outlineLvl w:val="0"/>
        <w:rPr>
          <w:b/>
        </w:rPr>
      </w:pPr>
      <w:r w:rsidRPr="00A32EE9">
        <w:rPr>
          <w:b/>
        </w:rPr>
        <w:t>Poučení:</w:t>
      </w:r>
    </w:p>
    <w:p w:rsidR="0050174C" w:rsidRPr="00A32EE9" w:rsidRDefault="003F1BEC" w:rsidP="00A27C6F">
      <w:pPr>
        <w:pStyle w:val="Zkladntextodsazen"/>
        <w:spacing w:after="1440"/>
        <w:ind w:firstLine="709"/>
        <w:jc w:val="both"/>
        <w:outlineLvl w:val="0"/>
        <w:rPr>
          <w:sz w:val="22"/>
        </w:rPr>
      </w:pPr>
      <w:r w:rsidRPr="00A32EE9">
        <w:rPr>
          <w:sz w:val="22"/>
        </w:rPr>
        <w:t>Proti tomuto rozhodnutí není přípustný opravný prostředek.</w:t>
      </w:r>
    </w:p>
    <w:p w:rsidR="0074479E" w:rsidRPr="00A32EE9" w:rsidRDefault="00615A23" w:rsidP="000C5F18">
      <w:pPr>
        <w:pStyle w:val="Zkladntextodsazen"/>
        <w:ind w:left="4253" w:firstLine="1"/>
        <w:jc w:val="center"/>
        <w:rPr>
          <w:sz w:val="22"/>
        </w:rPr>
      </w:pPr>
      <w:r w:rsidRPr="00A32EE9">
        <w:rPr>
          <w:sz w:val="22"/>
        </w:rPr>
        <w:t>Za Radu Českého telekomunikačního úřadu:</w:t>
      </w:r>
    </w:p>
    <w:sectPr w:rsidR="0074479E" w:rsidRPr="00A32EE9" w:rsidSect="0097308C">
      <w:footerReference w:type="default" r:id="rId10"/>
      <w:type w:val="continuous"/>
      <w:pgSz w:w="11906" w:h="16838" w:code="9"/>
      <w:pgMar w:top="1418" w:right="1418" w:bottom="1418" w:left="1418" w:header="709" w:footer="709" w:gutter="0"/>
      <w:lnNumType w:countBy="1" w:restart="continuou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420" w:rsidRDefault="00AE1420">
      <w:r>
        <w:separator/>
      </w:r>
    </w:p>
  </w:endnote>
  <w:endnote w:type="continuationSeparator" w:id="0">
    <w:p w:rsidR="00AE1420" w:rsidRDefault="00AE1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MT">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43B" w:rsidRDefault="0085643B" w:rsidP="00795AC6">
    <w:pPr>
      <w:pStyle w:val="Zpat"/>
      <w:tabs>
        <w:tab w:val="clear" w:pos="4536"/>
        <w:tab w:val="left" w:pos="142"/>
        <w:tab w:val="left" w:pos="284"/>
        <w:tab w:val="center" w:pos="4535"/>
      </w:tabs>
      <w:rPr>
        <w:rStyle w:val="slostrnky"/>
        <w:sz w:val="18"/>
        <w:szCs w:val="18"/>
      </w:rPr>
    </w:pPr>
    <w:r>
      <w:rPr>
        <w:rStyle w:val="slostrnky"/>
        <w:sz w:val="18"/>
        <w:szCs w:val="18"/>
      </w:rPr>
      <w:tab/>
    </w:r>
    <w:r>
      <w:rPr>
        <w:rStyle w:val="slostrnky"/>
        <w:sz w:val="18"/>
        <w:szCs w:val="18"/>
      </w:rPr>
      <w:tab/>
    </w:r>
    <w:r>
      <w:rPr>
        <w:rStyle w:val="slostrnky"/>
      </w:rPr>
      <w:tab/>
    </w:r>
    <w:r>
      <w:rPr>
        <w:rStyle w:val="slostrnky"/>
      </w:rPr>
      <w:fldChar w:fldCharType="begin"/>
    </w:r>
    <w:r>
      <w:rPr>
        <w:rStyle w:val="slostrnky"/>
      </w:rPr>
      <w:instrText xml:space="preserve"> PAGE </w:instrText>
    </w:r>
    <w:r>
      <w:rPr>
        <w:rStyle w:val="slostrnky"/>
      </w:rPr>
      <w:fldChar w:fldCharType="separate"/>
    </w:r>
    <w:r w:rsidR="008A653B">
      <w:rPr>
        <w:rStyle w:val="slostrnky"/>
        <w:noProof/>
      </w:rPr>
      <w:t>10</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8A653B">
      <w:rPr>
        <w:rStyle w:val="slostrnky"/>
        <w:noProof/>
      </w:rPr>
      <w:t>11</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420" w:rsidRDefault="00AE1420">
      <w:r>
        <w:separator/>
      </w:r>
    </w:p>
  </w:footnote>
  <w:footnote w:type="continuationSeparator" w:id="0">
    <w:p w:rsidR="00AE1420" w:rsidRDefault="00AE1420">
      <w:r>
        <w:continuationSeparator/>
      </w:r>
    </w:p>
  </w:footnote>
  <w:footnote w:id="1">
    <w:p w:rsidR="0085643B" w:rsidRDefault="0085643B" w:rsidP="00287DAB">
      <w:pPr>
        <w:autoSpaceDE w:val="0"/>
        <w:autoSpaceDN w:val="0"/>
        <w:adjustRightInd w:val="0"/>
        <w:jc w:val="both"/>
      </w:pPr>
      <w:r w:rsidRPr="00287DAB">
        <w:rPr>
          <w:rStyle w:val="Znakapoznpodarou"/>
          <w:rFonts w:cs="Arial"/>
          <w:sz w:val="18"/>
          <w:szCs w:val="18"/>
        </w:rPr>
        <w:footnoteRef/>
      </w:r>
      <w:r w:rsidRPr="00287DAB">
        <w:rPr>
          <w:rFonts w:cs="Arial"/>
          <w:sz w:val="18"/>
          <w:szCs w:val="18"/>
        </w:rPr>
        <w:t xml:space="preserve"> </w:t>
      </w:r>
      <w:r w:rsidRPr="00287DAB">
        <w:rPr>
          <w:rFonts w:cs="Arial"/>
          <w:color w:val="000000"/>
          <w:sz w:val="18"/>
          <w:szCs w:val="18"/>
        </w:rPr>
        <w:t>Tento základní princip při alokaci nákladů do cen jednotlivých služeb na jednotlivých trzích zmiňuje i Příloha I v Doporučení Komise č. 2010/572/EU ze dne 20. září 2010 o regulovaném přístupu k přístupovým sítím nové generace (NGA).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D17F2"/>
    <w:multiLevelType w:val="singleLevel"/>
    <w:tmpl w:val="0405000F"/>
    <w:lvl w:ilvl="0">
      <w:start w:val="1"/>
      <w:numFmt w:val="decimal"/>
      <w:lvlText w:val="%1."/>
      <w:lvlJc w:val="left"/>
      <w:pPr>
        <w:tabs>
          <w:tab w:val="num" w:pos="360"/>
        </w:tabs>
        <w:ind w:left="360" w:hanging="360"/>
      </w:pPr>
    </w:lvl>
  </w:abstractNum>
  <w:abstractNum w:abstractNumId="1">
    <w:nsid w:val="0AAF14E5"/>
    <w:multiLevelType w:val="singleLevel"/>
    <w:tmpl w:val="4B3A409E"/>
    <w:lvl w:ilvl="0">
      <w:start w:val="2"/>
      <w:numFmt w:val="decimal"/>
      <w:lvlText w:val="(%1)"/>
      <w:lvlJc w:val="left"/>
      <w:pPr>
        <w:tabs>
          <w:tab w:val="num" w:pos="360"/>
        </w:tabs>
        <w:ind w:left="360" w:hanging="360"/>
      </w:pPr>
      <w:rPr>
        <w:rFonts w:hint="default"/>
      </w:rPr>
    </w:lvl>
  </w:abstractNum>
  <w:abstractNum w:abstractNumId="2">
    <w:nsid w:val="12C71400"/>
    <w:multiLevelType w:val="hybridMultilevel"/>
    <w:tmpl w:val="448E7B14"/>
    <w:lvl w:ilvl="0" w:tplc="8E8AF060">
      <w:start w:val="1"/>
      <w:numFmt w:val="decimal"/>
      <w:lvlText w:val="%1."/>
      <w:lvlJc w:val="left"/>
      <w:pPr>
        <w:tabs>
          <w:tab w:val="num" w:pos="1452"/>
        </w:tabs>
        <w:ind w:left="1452" w:hanging="885"/>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3">
    <w:nsid w:val="14BE6152"/>
    <w:multiLevelType w:val="singleLevel"/>
    <w:tmpl w:val="F4169C7E"/>
    <w:lvl w:ilvl="0">
      <w:start w:val="1"/>
      <w:numFmt w:val="decimal"/>
      <w:lvlText w:val="(%1)"/>
      <w:lvlJc w:val="left"/>
      <w:pPr>
        <w:tabs>
          <w:tab w:val="num" w:pos="360"/>
        </w:tabs>
        <w:ind w:left="360" w:hanging="360"/>
      </w:pPr>
      <w:rPr>
        <w:b w:val="0"/>
        <w:i w:val="0"/>
      </w:rPr>
    </w:lvl>
  </w:abstractNum>
  <w:abstractNum w:abstractNumId="4">
    <w:nsid w:val="1C3727C3"/>
    <w:multiLevelType w:val="singleLevel"/>
    <w:tmpl w:val="D2382530"/>
    <w:lvl w:ilvl="0">
      <w:start w:val="1"/>
      <w:numFmt w:val="decimal"/>
      <w:lvlText w:val="(%1)"/>
      <w:lvlJc w:val="left"/>
      <w:pPr>
        <w:tabs>
          <w:tab w:val="num" w:pos="360"/>
        </w:tabs>
        <w:ind w:left="360" w:hanging="360"/>
      </w:pPr>
      <w:rPr>
        <w:b w:val="0"/>
        <w:i w:val="0"/>
        <w:caps w:val="0"/>
        <w:strike w:val="0"/>
        <w:dstrike w:val="0"/>
        <w:vanish w:val="0"/>
        <w:vertAlign w:val="baseline"/>
      </w:rPr>
    </w:lvl>
  </w:abstractNum>
  <w:abstractNum w:abstractNumId="5">
    <w:nsid w:val="1CB21D47"/>
    <w:multiLevelType w:val="multilevel"/>
    <w:tmpl w:val="08BED61A"/>
    <w:lvl w:ilvl="0">
      <w:start w:val="1"/>
      <w:numFmt w:val="decimal"/>
      <w:suff w:val="space"/>
      <w:lvlText w:val="%1."/>
      <w:lvlJc w:val="left"/>
      <w:pPr>
        <w:ind w:left="340" w:hanging="340"/>
      </w:pPr>
    </w:lvl>
    <w:lvl w:ilvl="1">
      <w:start w:val="1"/>
      <w:numFmt w:val="decimal"/>
      <w:suff w:val="space"/>
      <w:lvlText w:val="%1.%2."/>
      <w:lvlJc w:val="left"/>
      <w:pPr>
        <w:ind w:left="624" w:hanging="397"/>
      </w:pPr>
    </w:lvl>
    <w:lvl w:ilvl="2">
      <w:start w:val="1"/>
      <w:numFmt w:val="decimal"/>
      <w:lvlText w:val="%1.%2.%3."/>
      <w:lvlJc w:val="left"/>
      <w:pPr>
        <w:tabs>
          <w:tab w:val="num" w:pos="1191"/>
        </w:tabs>
        <w:ind w:left="1191" w:hanging="62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47A19CC"/>
    <w:multiLevelType w:val="singleLevel"/>
    <w:tmpl w:val="9BFA3ED8"/>
    <w:lvl w:ilvl="0">
      <w:start w:val="1"/>
      <w:numFmt w:val="decimal"/>
      <w:lvlText w:val="1.%1"/>
      <w:lvlJc w:val="center"/>
      <w:pPr>
        <w:tabs>
          <w:tab w:val="num" w:pos="648"/>
        </w:tabs>
        <w:ind w:left="0" w:firstLine="288"/>
      </w:pPr>
    </w:lvl>
  </w:abstractNum>
  <w:abstractNum w:abstractNumId="7">
    <w:nsid w:val="24E1030D"/>
    <w:multiLevelType w:val="multilevel"/>
    <w:tmpl w:val="48BA7444"/>
    <w:lvl w:ilvl="0">
      <w:start w:val="1"/>
      <w:numFmt w:val="decimal"/>
      <w:suff w:val="space"/>
      <w:lvlText w:val="%1."/>
      <w:lvlJc w:val="left"/>
      <w:pPr>
        <w:ind w:left="340" w:hanging="340"/>
      </w:pPr>
    </w:lvl>
    <w:lvl w:ilvl="1">
      <w:start w:val="1"/>
      <w:numFmt w:val="decimal"/>
      <w:suff w:val="space"/>
      <w:lvlText w:val="%1.%2."/>
      <w:lvlJc w:val="left"/>
      <w:pPr>
        <w:ind w:left="624" w:hanging="397"/>
      </w:pPr>
    </w:lvl>
    <w:lvl w:ilvl="2">
      <w:start w:val="1"/>
      <w:numFmt w:val="decimal"/>
      <w:lvlText w:val="%1.%2.%3."/>
      <w:lvlJc w:val="left"/>
      <w:pPr>
        <w:tabs>
          <w:tab w:val="num" w:pos="1191"/>
        </w:tabs>
        <w:ind w:left="1191" w:hanging="62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253777F0"/>
    <w:multiLevelType w:val="singleLevel"/>
    <w:tmpl w:val="F4169C7E"/>
    <w:lvl w:ilvl="0">
      <w:start w:val="1"/>
      <w:numFmt w:val="decimal"/>
      <w:lvlText w:val="(%1)"/>
      <w:lvlJc w:val="left"/>
      <w:pPr>
        <w:tabs>
          <w:tab w:val="num" w:pos="360"/>
        </w:tabs>
        <w:ind w:left="360" w:hanging="360"/>
      </w:pPr>
      <w:rPr>
        <w:b w:val="0"/>
        <w:i w:val="0"/>
      </w:rPr>
    </w:lvl>
  </w:abstractNum>
  <w:abstractNum w:abstractNumId="9">
    <w:nsid w:val="25FA12F1"/>
    <w:multiLevelType w:val="singleLevel"/>
    <w:tmpl w:val="D03AE1C2"/>
    <w:lvl w:ilvl="0">
      <w:start w:val="1"/>
      <w:numFmt w:val="bullet"/>
      <w:lvlText w:val="-"/>
      <w:lvlJc w:val="left"/>
      <w:pPr>
        <w:tabs>
          <w:tab w:val="num" w:pos="360"/>
        </w:tabs>
        <w:ind w:left="360" w:hanging="360"/>
      </w:pPr>
      <w:rPr>
        <w:rFonts w:hint="default"/>
      </w:rPr>
    </w:lvl>
  </w:abstractNum>
  <w:abstractNum w:abstractNumId="10">
    <w:nsid w:val="27B16F61"/>
    <w:multiLevelType w:val="singleLevel"/>
    <w:tmpl w:val="7F42A754"/>
    <w:lvl w:ilvl="0">
      <w:start w:val="1"/>
      <w:numFmt w:val="decimal"/>
      <w:lvlText w:val="1.%1"/>
      <w:lvlJc w:val="center"/>
      <w:pPr>
        <w:tabs>
          <w:tab w:val="num" w:pos="648"/>
        </w:tabs>
        <w:ind w:left="0" w:firstLine="288"/>
      </w:pPr>
    </w:lvl>
  </w:abstractNum>
  <w:abstractNum w:abstractNumId="11">
    <w:nsid w:val="2A3167AF"/>
    <w:multiLevelType w:val="hybridMultilevel"/>
    <w:tmpl w:val="0F2ED6FC"/>
    <w:lvl w:ilvl="0" w:tplc="D8944478">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2">
    <w:nsid w:val="2E07025F"/>
    <w:multiLevelType w:val="singleLevel"/>
    <w:tmpl w:val="D4AEA8CE"/>
    <w:lvl w:ilvl="0">
      <w:start w:val="1"/>
      <w:numFmt w:val="decimal"/>
      <w:lvlText w:val="(%1)"/>
      <w:lvlJc w:val="left"/>
      <w:pPr>
        <w:tabs>
          <w:tab w:val="num" w:pos="360"/>
        </w:tabs>
        <w:ind w:left="360" w:hanging="360"/>
      </w:pPr>
    </w:lvl>
  </w:abstractNum>
  <w:abstractNum w:abstractNumId="13">
    <w:nsid w:val="34D34842"/>
    <w:multiLevelType w:val="singleLevel"/>
    <w:tmpl w:val="BB60F430"/>
    <w:lvl w:ilvl="0">
      <w:start w:val="1"/>
      <w:numFmt w:val="decimal"/>
      <w:lvlText w:val="(%1)"/>
      <w:lvlJc w:val="left"/>
      <w:pPr>
        <w:tabs>
          <w:tab w:val="num" w:pos="360"/>
        </w:tabs>
        <w:ind w:left="360" w:hanging="360"/>
      </w:pPr>
      <w:rPr>
        <w:rFonts w:hint="default"/>
      </w:rPr>
    </w:lvl>
  </w:abstractNum>
  <w:abstractNum w:abstractNumId="14">
    <w:nsid w:val="354434D3"/>
    <w:multiLevelType w:val="multilevel"/>
    <w:tmpl w:val="F788E476"/>
    <w:lvl w:ilvl="0">
      <w:start w:val="1"/>
      <w:numFmt w:val="decimal"/>
      <w:suff w:val="space"/>
      <w:lvlText w:val="%1."/>
      <w:lvlJc w:val="left"/>
      <w:pPr>
        <w:ind w:left="340" w:hanging="340"/>
      </w:pPr>
    </w:lvl>
    <w:lvl w:ilvl="1">
      <w:start w:val="1"/>
      <w:numFmt w:val="decimal"/>
      <w:pStyle w:val="Nadpis2"/>
      <w:suff w:val="space"/>
      <w:lvlText w:val="%1.%2."/>
      <w:lvlJc w:val="left"/>
      <w:pPr>
        <w:ind w:left="624" w:hanging="397"/>
      </w:pPr>
    </w:lvl>
    <w:lvl w:ilvl="2">
      <w:start w:val="1"/>
      <w:numFmt w:val="decimal"/>
      <w:lvlText w:val="%1.%2.%3."/>
      <w:lvlJc w:val="left"/>
      <w:pPr>
        <w:tabs>
          <w:tab w:val="num" w:pos="1191"/>
        </w:tabs>
        <w:ind w:left="1191" w:hanging="62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6941AD4"/>
    <w:multiLevelType w:val="singleLevel"/>
    <w:tmpl w:val="3DB24BAC"/>
    <w:lvl w:ilvl="0">
      <w:start w:val="1"/>
      <w:numFmt w:val="decimal"/>
      <w:lvlText w:val="4.%1"/>
      <w:lvlJc w:val="center"/>
      <w:pPr>
        <w:tabs>
          <w:tab w:val="num" w:pos="648"/>
        </w:tabs>
        <w:ind w:left="0" w:firstLine="288"/>
      </w:pPr>
    </w:lvl>
  </w:abstractNum>
  <w:abstractNum w:abstractNumId="16">
    <w:nsid w:val="39F10376"/>
    <w:multiLevelType w:val="multilevel"/>
    <w:tmpl w:val="0BD2C62E"/>
    <w:lvl w:ilvl="0">
      <w:start w:val="1"/>
      <w:numFmt w:val="lowerLetter"/>
      <w:lvlText w:val="%1)"/>
      <w:lvlJc w:val="left"/>
      <w:pPr>
        <w:tabs>
          <w:tab w:val="num" w:pos="786"/>
        </w:tabs>
        <w:ind w:left="786" w:hanging="360"/>
      </w:pPr>
      <w:rPr>
        <w:rFonts w:hint="default"/>
      </w:rPr>
    </w:lvl>
    <w:lvl w:ilvl="1" w:tentative="1">
      <w:start w:val="1"/>
      <w:numFmt w:val="lowerLetter"/>
      <w:lvlText w:val="%2."/>
      <w:lvlJc w:val="left"/>
      <w:pPr>
        <w:tabs>
          <w:tab w:val="num" w:pos="1506"/>
        </w:tabs>
        <w:ind w:left="1506" w:hanging="360"/>
      </w:pPr>
    </w:lvl>
    <w:lvl w:ilvl="2" w:tentative="1">
      <w:start w:val="1"/>
      <w:numFmt w:val="lowerRoman"/>
      <w:lvlText w:val="%3."/>
      <w:lvlJc w:val="right"/>
      <w:pPr>
        <w:tabs>
          <w:tab w:val="num" w:pos="2226"/>
        </w:tabs>
        <w:ind w:left="2226" w:hanging="180"/>
      </w:pPr>
    </w:lvl>
    <w:lvl w:ilvl="3" w:tentative="1">
      <w:start w:val="1"/>
      <w:numFmt w:val="decimal"/>
      <w:lvlText w:val="%4."/>
      <w:lvlJc w:val="left"/>
      <w:pPr>
        <w:tabs>
          <w:tab w:val="num" w:pos="2946"/>
        </w:tabs>
        <w:ind w:left="2946" w:hanging="360"/>
      </w:pPr>
    </w:lvl>
    <w:lvl w:ilvl="4" w:tentative="1">
      <w:start w:val="1"/>
      <w:numFmt w:val="lowerLetter"/>
      <w:lvlText w:val="%5."/>
      <w:lvlJc w:val="left"/>
      <w:pPr>
        <w:tabs>
          <w:tab w:val="num" w:pos="3666"/>
        </w:tabs>
        <w:ind w:left="3666" w:hanging="360"/>
      </w:pPr>
    </w:lvl>
    <w:lvl w:ilvl="5" w:tentative="1">
      <w:start w:val="1"/>
      <w:numFmt w:val="lowerRoman"/>
      <w:lvlText w:val="%6."/>
      <w:lvlJc w:val="right"/>
      <w:pPr>
        <w:tabs>
          <w:tab w:val="num" w:pos="4386"/>
        </w:tabs>
        <w:ind w:left="4386" w:hanging="180"/>
      </w:pPr>
    </w:lvl>
    <w:lvl w:ilvl="6" w:tentative="1">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abstractNum w:abstractNumId="17">
    <w:nsid w:val="3C135626"/>
    <w:multiLevelType w:val="singleLevel"/>
    <w:tmpl w:val="ED94F64C"/>
    <w:lvl w:ilvl="0">
      <w:start w:val="1"/>
      <w:numFmt w:val="decimal"/>
      <w:lvlText w:val="4.%1"/>
      <w:lvlJc w:val="center"/>
      <w:pPr>
        <w:tabs>
          <w:tab w:val="num" w:pos="786"/>
        </w:tabs>
        <w:ind w:left="138" w:firstLine="288"/>
      </w:pPr>
    </w:lvl>
  </w:abstractNum>
  <w:abstractNum w:abstractNumId="18">
    <w:nsid w:val="3F6D0873"/>
    <w:multiLevelType w:val="singleLevel"/>
    <w:tmpl w:val="21345266"/>
    <w:lvl w:ilvl="0">
      <w:start w:val="1"/>
      <w:numFmt w:val="lowerLetter"/>
      <w:lvlText w:val="%1)"/>
      <w:lvlJc w:val="left"/>
      <w:pPr>
        <w:tabs>
          <w:tab w:val="num" w:pos="644"/>
        </w:tabs>
        <w:ind w:left="644" w:hanging="360"/>
      </w:pPr>
      <w:rPr>
        <w:rFonts w:hint="default"/>
      </w:rPr>
    </w:lvl>
  </w:abstractNum>
  <w:abstractNum w:abstractNumId="19">
    <w:nsid w:val="3FBE0A2F"/>
    <w:multiLevelType w:val="singleLevel"/>
    <w:tmpl w:val="0405000F"/>
    <w:lvl w:ilvl="0">
      <w:start w:val="1"/>
      <w:numFmt w:val="decimal"/>
      <w:lvlText w:val="%1."/>
      <w:lvlJc w:val="left"/>
      <w:pPr>
        <w:tabs>
          <w:tab w:val="num" w:pos="360"/>
        </w:tabs>
        <w:ind w:left="360" w:hanging="360"/>
      </w:pPr>
    </w:lvl>
  </w:abstractNum>
  <w:abstractNum w:abstractNumId="20">
    <w:nsid w:val="42F43CE6"/>
    <w:multiLevelType w:val="singleLevel"/>
    <w:tmpl w:val="21345266"/>
    <w:lvl w:ilvl="0">
      <w:start w:val="1"/>
      <w:numFmt w:val="lowerLetter"/>
      <w:lvlText w:val="%1)"/>
      <w:lvlJc w:val="left"/>
      <w:pPr>
        <w:tabs>
          <w:tab w:val="num" w:pos="644"/>
        </w:tabs>
        <w:ind w:left="644" w:hanging="360"/>
      </w:pPr>
      <w:rPr>
        <w:rFonts w:hint="default"/>
      </w:rPr>
    </w:lvl>
  </w:abstractNum>
  <w:abstractNum w:abstractNumId="21">
    <w:nsid w:val="4A445129"/>
    <w:multiLevelType w:val="singleLevel"/>
    <w:tmpl w:val="910AB540"/>
    <w:lvl w:ilvl="0">
      <w:start w:val="1"/>
      <w:numFmt w:val="upperLetter"/>
      <w:lvlText w:val="%1)"/>
      <w:lvlJc w:val="left"/>
      <w:pPr>
        <w:tabs>
          <w:tab w:val="num" w:pos="1069"/>
        </w:tabs>
        <w:ind w:left="1069" w:hanging="360"/>
      </w:pPr>
      <w:rPr>
        <w:rFonts w:hint="default"/>
      </w:rPr>
    </w:lvl>
  </w:abstractNum>
  <w:abstractNum w:abstractNumId="22">
    <w:nsid w:val="4F554111"/>
    <w:multiLevelType w:val="multilevel"/>
    <w:tmpl w:val="AA502A38"/>
    <w:lvl w:ilvl="0">
      <w:start w:val="1"/>
      <w:numFmt w:val="decimal"/>
      <w:suff w:val="space"/>
      <w:lvlText w:val="%1."/>
      <w:lvlJc w:val="left"/>
      <w:pPr>
        <w:ind w:left="340" w:hanging="340"/>
      </w:pPr>
    </w:lvl>
    <w:lvl w:ilvl="1">
      <w:start w:val="2"/>
      <w:numFmt w:val="decimal"/>
      <w:suff w:val="space"/>
      <w:lvlText w:val="%1.%2."/>
      <w:lvlJc w:val="left"/>
      <w:pPr>
        <w:ind w:left="737" w:hanging="510"/>
      </w:pPr>
    </w:lvl>
    <w:lvl w:ilvl="2">
      <w:start w:val="1"/>
      <w:numFmt w:val="decimal"/>
      <w:suff w:val="space"/>
      <w:lvlText w:val="%1.%2.%3."/>
      <w:lvlJc w:val="left"/>
      <w:pPr>
        <w:ind w:left="1247" w:hanging="623"/>
      </w:pPr>
    </w:lvl>
    <w:lvl w:ilvl="3">
      <w:start w:val="1"/>
      <w:numFmt w:val="decimal"/>
      <w:suff w:val="space"/>
      <w:lvlText w:val="%1.%2.%3.%4."/>
      <w:lvlJc w:val="left"/>
      <w:pPr>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518D5600"/>
    <w:multiLevelType w:val="singleLevel"/>
    <w:tmpl w:val="2E6408B0"/>
    <w:lvl w:ilvl="0">
      <w:start w:val="1"/>
      <w:numFmt w:val="decimal"/>
      <w:lvlText w:val="(%1)"/>
      <w:lvlJc w:val="left"/>
      <w:pPr>
        <w:tabs>
          <w:tab w:val="num" w:pos="360"/>
        </w:tabs>
        <w:ind w:left="360" w:hanging="360"/>
      </w:pPr>
      <w:rPr>
        <w:rFonts w:hint="default"/>
      </w:rPr>
    </w:lvl>
  </w:abstractNum>
  <w:abstractNum w:abstractNumId="24">
    <w:nsid w:val="55CC2D37"/>
    <w:multiLevelType w:val="singleLevel"/>
    <w:tmpl w:val="8D20930C"/>
    <w:lvl w:ilvl="0">
      <w:start w:val="1"/>
      <w:numFmt w:val="upperRoman"/>
      <w:pStyle w:val="Nadpis9"/>
      <w:lvlText w:val="%1."/>
      <w:lvlJc w:val="left"/>
      <w:pPr>
        <w:tabs>
          <w:tab w:val="num" w:pos="1004"/>
        </w:tabs>
        <w:ind w:left="1004" w:hanging="720"/>
      </w:pPr>
      <w:rPr>
        <w:rFonts w:hint="default"/>
      </w:rPr>
    </w:lvl>
  </w:abstractNum>
  <w:abstractNum w:abstractNumId="25">
    <w:nsid w:val="5FAC21AA"/>
    <w:multiLevelType w:val="singleLevel"/>
    <w:tmpl w:val="7A4AF07A"/>
    <w:lvl w:ilvl="0">
      <w:start w:val="3"/>
      <w:numFmt w:val="lowerLetter"/>
      <w:lvlText w:val="%1)"/>
      <w:lvlJc w:val="left"/>
      <w:pPr>
        <w:tabs>
          <w:tab w:val="num" w:pos="720"/>
        </w:tabs>
        <w:ind w:left="720" w:hanging="360"/>
      </w:pPr>
      <w:rPr>
        <w:rFonts w:hint="default"/>
      </w:rPr>
    </w:lvl>
  </w:abstractNum>
  <w:abstractNum w:abstractNumId="26">
    <w:nsid w:val="5FFC1E31"/>
    <w:multiLevelType w:val="multilevel"/>
    <w:tmpl w:val="B7D4E72A"/>
    <w:lvl w:ilvl="0">
      <w:start w:val="1"/>
      <w:numFmt w:val="decimal"/>
      <w:pStyle w:val="Nadpis1"/>
      <w:suff w:val="space"/>
      <w:lvlText w:val="%1."/>
      <w:lvlJc w:val="left"/>
      <w:pPr>
        <w:ind w:left="340" w:hanging="340"/>
      </w:pPr>
    </w:lvl>
    <w:lvl w:ilvl="1">
      <w:start w:val="1"/>
      <w:numFmt w:val="decimal"/>
      <w:suff w:val="space"/>
      <w:lvlText w:val="%1.%2."/>
      <w:lvlJc w:val="left"/>
      <w:pPr>
        <w:ind w:left="624" w:hanging="397"/>
      </w:pPr>
    </w:lvl>
    <w:lvl w:ilvl="2">
      <w:start w:val="1"/>
      <w:numFmt w:val="decimal"/>
      <w:lvlText w:val="%1.%2.%3."/>
      <w:lvlJc w:val="left"/>
      <w:pPr>
        <w:tabs>
          <w:tab w:val="num" w:pos="1191"/>
        </w:tabs>
        <w:ind w:left="1191" w:hanging="62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62CA2B23"/>
    <w:multiLevelType w:val="singleLevel"/>
    <w:tmpl w:val="B1A4643C"/>
    <w:lvl w:ilvl="0">
      <w:start w:val="1"/>
      <w:numFmt w:val="decimal"/>
      <w:lvlText w:val="2.%1"/>
      <w:lvlJc w:val="center"/>
      <w:pPr>
        <w:tabs>
          <w:tab w:val="num" w:pos="648"/>
        </w:tabs>
        <w:ind w:left="0" w:firstLine="288"/>
      </w:pPr>
    </w:lvl>
  </w:abstractNum>
  <w:abstractNum w:abstractNumId="28">
    <w:nsid w:val="6C596B5B"/>
    <w:multiLevelType w:val="singleLevel"/>
    <w:tmpl w:val="564E4212"/>
    <w:lvl w:ilvl="0">
      <w:start w:val="2"/>
      <w:numFmt w:val="decimal"/>
      <w:lvlText w:val="%1."/>
      <w:lvlJc w:val="left"/>
      <w:pPr>
        <w:tabs>
          <w:tab w:val="num" w:pos="360"/>
        </w:tabs>
        <w:ind w:left="360" w:hanging="360"/>
      </w:pPr>
      <w:rPr>
        <w:rFonts w:ascii="Arial" w:hAnsi="Arial" w:hint="default"/>
        <w:sz w:val="22"/>
      </w:rPr>
    </w:lvl>
  </w:abstractNum>
  <w:abstractNum w:abstractNumId="29">
    <w:nsid w:val="7406585E"/>
    <w:multiLevelType w:val="multilevel"/>
    <w:tmpl w:val="ABBCF66A"/>
    <w:lvl w:ilvl="0">
      <w:start w:val="1"/>
      <w:numFmt w:val="decimal"/>
      <w:lvlText w:val="%1."/>
      <w:lvlJc w:val="left"/>
      <w:pPr>
        <w:tabs>
          <w:tab w:val="num" w:pos="432"/>
        </w:tabs>
        <w:ind w:left="432" w:hanging="432"/>
      </w:pPr>
      <w:rPr>
        <w:rFonts w:ascii="Arial" w:hAnsi="Arial" w:hint="default"/>
        <w:b/>
        <w:i w:val="0"/>
        <w:sz w:val="32"/>
      </w:rPr>
    </w:lvl>
    <w:lvl w:ilvl="1">
      <w:start w:val="1"/>
      <w:numFmt w:val="decimal"/>
      <w:lvlText w:val="%1.%2"/>
      <w:lvlJc w:val="left"/>
      <w:pPr>
        <w:tabs>
          <w:tab w:val="num" w:pos="576"/>
        </w:tabs>
        <w:ind w:left="576" w:hanging="576"/>
      </w:pPr>
      <w:rPr>
        <w:rFonts w:ascii="Arial" w:hAnsi="Arial" w:hint="default"/>
        <w:b/>
        <w:i w:val="0"/>
        <w:sz w:val="22"/>
      </w:rPr>
    </w:lvl>
    <w:lvl w:ilvl="2">
      <w:start w:val="1"/>
      <w:numFmt w:val="decimal"/>
      <w:lvlText w:val="%3.%2.1.1"/>
      <w:lvlJc w:val="left"/>
      <w:pPr>
        <w:tabs>
          <w:tab w:val="num" w:pos="720"/>
        </w:tabs>
        <w:ind w:left="720" w:hanging="720"/>
      </w:pPr>
      <w:rPr>
        <w:rFonts w:ascii="Arial" w:hAnsi="Arial" w:hint="default"/>
        <w:b/>
        <w:i w:val="0"/>
        <w:sz w:val="22"/>
      </w:rPr>
    </w:lvl>
    <w:lvl w:ilvl="3">
      <w:start w:val="1"/>
      <w:numFmt w:val="decimal"/>
      <w:lvlText w:val="%1.%2.%3.%4."/>
      <w:lvlJc w:val="left"/>
      <w:pPr>
        <w:tabs>
          <w:tab w:val="num" w:pos="1247"/>
        </w:tabs>
        <w:ind w:left="1247" w:hanging="1247"/>
      </w:pPr>
      <w:rPr>
        <w:rFonts w:hint="default"/>
        <w:b w:val="0"/>
        <w:i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79881D13"/>
    <w:multiLevelType w:val="singleLevel"/>
    <w:tmpl w:val="4B3A409E"/>
    <w:lvl w:ilvl="0">
      <w:start w:val="1"/>
      <w:numFmt w:val="decimal"/>
      <w:lvlText w:val="(%1)"/>
      <w:lvlJc w:val="left"/>
      <w:pPr>
        <w:tabs>
          <w:tab w:val="num" w:pos="360"/>
        </w:tabs>
        <w:ind w:left="360" w:hanging="360"/>
      </w:pPr>
      <w:rPr>
        <w:rFonts w:hint="default"/>
      </w:rPr>
    </w:lvl>
  </w:abstractNum>
  <w:abstractNum w:abstractNumId="31">
    <w:nsid w:val="7A31054F"/>
    <w:multiLevelType w:val="singleLevel"/>
    <w:tmpl w:val="5A98EE66"/>
    <w:lvl w:ilvl="0">
      <w:start w:val="1"/>
      <w:numFmt w:val="decimal"/>
      <w:lvlText w:val="3.%1"/>
      <w:lvlJc w:val="center"/>
      <w:pPr>
        <w:tabs>
          <w:tab w:val="num" w:pos="648"/>
        </w:tabs>
        <w:ind w:left="0" w:firstLine="288"/>
      </w:pPr>
      <w:rPr>
        <w:strike w:val="0"/>
      </w:rPr>
    </w:lvl>
  </w:abstractNum>
  <w:abstractNum w:abstractNumId="32">
    <w:nsid w:val="7C466CEE"/>
    <w:multiLevelType w:val="multilevel"/>
    <w:tmpl w:val="48BA7444"/>
    <w:lvl w:ilvl="0">
      <w:start w:val="1"/>
      <w:numFmt w:val="decimal"/>
      <w:suff w:val="space"/>
      <w:lvlText w:val="%1."/>
      <w:lvlJc w:val="left"/>
      <w:pPr>
        <w:ind w:left="340" w:hanging="340"/>
      </w:pPr>
    </w:lvl>
    <w:lvl w:ilvl="1">
      <w:start w:val="1"/>
      <w:numFmt w:val="decimal"/>
      <w:suff w:val="space"/>
      <w:lvlText w:val="%1.%2."/>
      <w:lvlJc w:val="left"/>
      <w:pPr>
        <w:ind w:left="624" w:hanging="397"/>
      </w:pPr>
    </w:lvl>
    <w:lvl w:ilvl="2">
      <w:start w:val="1"/>
      <w:numFmt w:val="decimal"/>
      <w:lvlText w:val="%1.%2.%3."/>
      <w:lvlJc w:val="left"/>
      <w:pPr>
        <w:tabs>
          <w:tab w:val="num" w:pos="1191"/>
        </w:tabs>
        <w:ind w:left="1191" w:hanging="62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4">
    <w:nsid w:val="7E8924F8"/>
    <w:multiLevelType w:val="multilevel"/>
    <w:tmpl w:val="A1886A86"/>
    <w:lvl w:ilvl="0">
      <w:start w:val="1"/>
      <w:numFmt w:val="decimal"/>
      <w:suff w:val="space"/>
      <w:lvlText w:val="%1."/>
      <w:lvlJc w:val="left"/>
      <w:pPr>
        <w:ind w:left="340" w:hanging="340"/>
      </w:pPr>
    </w:lvl>
    <w:lvl w:ilvl="1">
      <w:start w:val="1"/>
      <w:numFmt w:val="decimal"/>
      <w:suff w:val="space"/>
      <w:lvlText w:val="%1.%2."/>
      <w:lvlJc w:val="left"/>
      <w:pPr>
        <w:ind w:left="624" w:hanging="397"/>
      </w:pPr>
    </w:lvl>
    <w:lvl w:ilvl="2">
      <w:start w:val="1"/>
      <w:numFmt w:val="decimal"/>
      <w:lvlText w:val="%1.%2.%3."/>
      <w:lvlJc w:val="left"/>
      <w:pPr>
        <w:tabs>
          <w:tab w:val="num" w:pos="1191"/>
        </w:tabs>
        <w:ind w:left="1191" w:hanging="62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4"/>
  </w:num>
  <w:num w:numId="2">
    <w:abstractNumId w:val="4"/>
  </w:num>
  <w:num w:numId="3">
    <w:abstractNumId w:val="13"/>
  </w:num>
  <w:num w:numId="4">
    <w:abstractNumId w:val="1"/>
  </w:num>
  <w:num w:numId="5">
    <w:abstractNumId w:val="23"/>
  </w:num>
  <w:num w:numId="6">
    <w:abstractNumId w:val="19"/>
  </w:num>
  <w:num w:numId="7">
    <w:abstractNumId w:val="3"/>
  </w:num>
  <w:num w:numId="8">
    <w:abstractNumId w:val="9"/>
  </w:num>
  <w:num w:numId="9">
    <w:abstractNumId w:val="21"/>
  </w:num>
  <w:num w:numId="10">
    <w:abstractNumId w:val="12"/>
  </w:num>
  <w:num w:numId="11">
    <w:abstractNumId w:val="25"/>
  </w:num>
  <w:num w:numId="12">
    <w:abstractNumId w:val="16"/>
  </w:num>
  <w:num w:numId="13">
    <w:abstractNumId w:val="8"/>
  </w:num>
  <w:num w:numId="14">
    <w:abstractNumId w:val="30"/>
  </w:num>
  <w:num w:numId="15">
    <w:abstractNumId w:val="5"/>
  </w:num>
  <w:num w:numId="16">
    <w:abstractNumId w:val="34"/>
  </w:num>
  <w:num w:numId="17">
    <w:abstractNumId w:val="32"/>
  </w:num>
  <w:num w:numId="18">
    <w:abstractNumId w:val="7"/>
  </w:num>
  <w:num w:numId="19">
    <w:abstractNumId w:val="14"/>
  </w:num>
  <w:num w:numId="20">
    <w:abstractNumId w:val="26"/>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6"/>
  </w:num>
  <w:num w:numId="24">
    <w:abstractNumId w:val="28"/>
  </w:num>
  <w:num w:numId="25">
    <w:abstractNumId w:val="27"/>
  </w:num>
  <w:num w:numId="26">
    <w:abstractNumId w:val="10"/>
  </w:num>
  <w:num w:numId="27">
    <w:abstractNumId w:val="15"/>
  </w:num>
  <w:num w:numId="28">
    <w:abstractNumId w:val="17"/>
  </w:num>
  <w:num w:numId="29">
    <w:abstractNumId w:val="31"/>
  </w:num>
  <w:num w:numId="30">
    <w:abstractNumId w:val="29"/>
  </w:num>
  <w:num w:numId="31">
    <w:abstractNumId w:val="0"/>
  </w:num>
  <w:num w:numId="32">
    <w:abstractNumId w:val="20"/>
  </w:num>
  <w:num w:numId="33">
    <w:abstractNumId w:val="18"/>
  </w:num>
  <w:num w:numId="34">
    <w:abstractNumId w:val="2"/>
  </w:num>
  <w:num w:numId="35">
    <w:abstractNumId w:val="33"/>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27F"/>
    <w:rsid w:val="000016D6"/>
    <w:rsid w:val="0000214B"/>
    <w:rsid w:val="000048A3"/>
    <w:rsid w:val="000076AD"/>
    <w:rsid w:val="0000783B"/>
    <w:rsid w:val="000114F4"/>
    <w:rsid w:val="00013566"/>
    <w:rsid w:val="00015B0A"/>
    <w:rsid w:val="000205D6"/>
    <w:rsid w:val="00021D67"/>
    <w:rsid w:val="00023E09"/>
    <w:rsid w:val="000256E5"/>
    <w:rsid w:val="00027399"/>
    <w:rsid w:val="000306B1"/>
    <w:rsid w:val="000307A8"/>
    <w:rsid w:val="000315B4"/>
    <w:rsid w:val="000317BD"/>
    <w:rsid w:val="0003498F"/>
    <w:rsid w:val="00035C15"/>
    <w:rsid w:val="00036A9F"/>
    <w:rsid w:val="0004125F"/>
    <w:rsid w:val="00041F07"/>
    <w:rsid w:val="00043F1F"/>
    <w:rsid w:val="0004673B"/>
    <w:rsid w:val="000516D9"/>
    <w:rsid w:val="0005189E"/>
    <w:rsid w:val="000605B8"/>
    <w:rsid w:val="0006373C"/>
    <w:rsid w:val="000641E5"/>
    <w:rsid w:val="00064A9D"/>
    <w:rsid w:val="000651D8"/>
    <w:rsid w:val="00065EEC"/>
    <w:rsid w:val="00065FEB"/>
    <w:rsid w:val="0006751F"/>
    <w:rsid w:val="000715EF"/>
    <w:rsid w:val="00072F76"/>
    <w:rsid w:val="000732CD"/>
    <w:rsid w:val="00075B1E"/>
    <w:rsid w:val="00080351"/>
    <w:rsid w:val="0008198F"/>
    <w:rsid w:val="00081F15"/>
    <w:rsid w:val="0008540A"/>
    <w:rsid w:val="00086FD5"/>
    <w:rsid w:val="00095B16"/>
    <w:rsid w:val="000966FD"/>
    <w:rsid w:val="000970D2"/>
    <w:rsid w:val="0009788B"/>
    <w:rsid w:val="000A0476"/>
    <w:rsid w:val="000A2E16"/>
    <w:rsid w:val="000A37ED"/>
    <w:rsid w:val="000A573F"/>
    <w:rsid w:val="000A57E0"/>
    <w:rsid w:val="000A5CFF"/>
    <w:rsid w:val="000B0887"/>
    <w:rsid w:val="000B19DA"/>
    <w:rsid w:val="000B24EB"/>
    <w:rsid w:val="000B3008"/>
    <w:rsid w:val="000B5C9C"/>
    <w:rsid w:val="000B7807"/>
    <w:rsid w:val="000B7BC7"/>
    <w:rsid w:val="000C0EE7"/>
    <w:rsid w:val="000C1480"/>
    <w:rsid w:val="000C3A19"/>
    <w:rsid w:val="000C448B"/>
    <w:rsid w:val="000C5F18"/>
    <w:rsid w:val="000D1237"/>
    <w:rsid w:val="000D2A29"/>
    <w:rsid w:val="000D2E9A"/>
    <w:rsid w:val="000D781F"/>
    <w:rsid w:val="000E0DDB"/>
    <w:rsid w:val="000E2CAE"/>
    <w:rsid w:val="000E3A78"/>
    <w:rsid w:val="000E3FE5"/>
    <w:rsid w:val="000E4637"/>
    <w:rsid w:val="000E548B"/>
    <w:rsid w:val="000E6209"/>
    <w:rsid w:val="000F350C"/>
    <w:rsid w:val="000F73F5"/>
    <w:rsid w:val="0010280E"/>
    <w:rsid w:val="001029BD"/>
    <w:rsid w:val="00111154"/>
    <w:rsid w:val="00111C55"/>
    <w:rsid w:val="001132DB"/>
    <w:rsid w:val="00113E5E"/>
    <w:rsid w:val="0011511D"/>
    <w:rsid w:val="00125708"/>
    <w:rsid w:val="0013023C"/>
    <w:rsid w:val="001333C9"/>
    <w:rsid w:val="00133DFA"/>
    <w:rsid w:val="001357E9"/>
    <w:rsid w:val="00135F41"/>
    <w:rsid w:val="001378E3"/>
    <w:rsid w:val="0014140E"/>
    <w:rsid w:val="00144A1F"/>
    <w:rsid w:val="00145217"/>
    <w:rsid w:val="001471AC"/>
    <w:rsid w:val="00154028"/>
    <w:rsid w:val="00154638"/>
    <w:rsid w:val="001563ED"/>
    <w:rsid w:val="001565BE"/>
    <w:rsid w:val="00156EF1"/>
    <w:rsid w:val="00162EC2"/>
    <w:rsid w:val="00163C3C"/>
    <w:rsid w:val="00170E45"/>
    <w:rsid w:val="00174FF5"/>
    <w:rsid w:val="0017699C"/>
    <w:rsid w:val="0018098A"/>
    <w:rsid w:val="00194953"/>
    <w:rsid w:val="001956D2"/>
    <w:rsid w:val="00195D75"/>
    <w:rsid w:val="001A2328"/>
    <w:rsid w:val="001A4A6A"/>
    <w:rsid w:val="001A547F"/>
    <w:rsid w:val="001A69E1"/>
    <w:rsid w:val="001A6C4D"/>
    <w:rsid w:val="001B107C"/>
    <w:rsid w:val="001B1DD4"/>
    <w:rsid w:val="001B260A"/>
    <w:rsid w:val="001B262B"/>
    <w:rsid w:val="001B2A99"/>
    <w:rsid w:val="001B44D2"/>
    <w:rsid w:val="001B47F4"/>
    <w:rsid w:val="001B5170"/>
    <w:rsid w:val="001B6F6C"/>
    <w:rsid w:val="001B7A7E"/>
    <w:rsid w:val="001C2DB3"/>
    <w:rsid w:val="001C2F24"/>
    <w:rsid w:val="001C3789"/>
    <w:rsid w:val="001C3839"/>
    <w:rsid w:val="001C614A"/>
    <w:rsid w:val="001D0FFB"/>
    <w:rsid w:val="001D2AC3"/>
    <w:rsid w:val="001D647C"/>
    <w:rsid w:val="001E1A1E"/>
    <w:rsid w:val="001E6BA9"/>
    <w:rsid w:val="001F1A60"/>
    <w:rsid w:val="001F5A3A"/>
    <w:rsid w:val="001F7DA0"/>
    <w:rsid w:val="002006FA"/>
    <w:rsid w:val="0020149C"/>
    <w:rsid w:val="00201DCA"/>
    <w:rsid w:val="002045DC"/>
    <w:rsid w:val="00204BED"/>
    <w:rsid w:val="00204D00"/>
    <w:rsid w:val="0020501F"/>
    <w:rsid w:val="002056BF"/>
    <w:rsid w:val="002069F1"/>
    <w:rsid w:val="0021104C"/>
    <w:rsid w:val="00213B1A"/>
    <w:rsid w:val="00214021"/>
    <w:rsid w:val="00214F71"/>
    <w:rsid w:val="0021514F"/>
    <w:rsid w:val="00215EFD"/>
    <w:rsid w:val="00217B7B"/>
    <w:rsid w:val="002218DC"/>
    <w:rsid w:val="002257F5"/>
    <w:rsid w:val="00225F66"/>
    <w:rsid w:val="00226B42"/>
    <w:rsid w:val="002275AA"/>
    <w:rsid w:val="00227F12"/>
    <w:rsid w:val="0023281E"/>
    <w:rsid w:val="002330C6"/>
    <w:rsid w:val="002337C5"/>
    <w:rsid w:val="00234E39"/>
    <w:rsid w:val="00235CD8"/>
    <w:rsid w:val="00236D88"/>
    <w:rsid w:val="002412F6"/>
    <w:rsid w:val="0024138D"/>
    <w:rsid w:val="002418E0"/>
    <w:rsid w:val="00250B91"/>
    <w:rsid w:val="002526AE"/>
    <w:rsid w:val="002536DA"/>
    <w:rsid w:val="00254D22"/>
    <w:rsid w:val="002560C0"/>
    <w:rsid w:val="00260299"/>
    <w:rsid w:val="00260CDA"/>
    <w:rsid w:val="002616DF"/>
    <w:rsid w:val="002620F4"/>
    <w:rsid w:val="00267EB4"/>
    <w:rsid w:val="00270EC1"/>
    <w:rsid w:val="002712F6"/>
    <w:rsid w:val="00272249"/>
    <w:rsid w:val="00272560"/>
    <w:rsid w:val="0027754C"/>
    <w:rsid w:val="002778CB"/>
    <w:rsid w:val="00282D5F"/>
    <w:rsid w:val="00282F1D"/>
    <w:rsid w:val="002833BE"/>
    <w:rsid w:val="00287DAB"/>
    <w:rsid w:val="00290A34"/>
    <w:rsid w:val="002920F9"/>
    <w:rsid w:val="00296FB5"/>
    <w:rsid w:val="00297248"/>
    <w:rsid w:val="00297488"/>
    <w:rsid w:val="002A2420"/>
    <w:rsid w:val="002A2BF0"/>
    <w:rsid w:val="002A4974"/>
    <w:rsid w:val="002A6684"/>
    <w:rsid w:val="002B067F"/>
    <w:rsid w:val="002B3B8A"/>
    <w:rsid w:val="002B71C1"/>
    <w:rsid w:val="002B7AA6"/>
    <w:rsid w:val="002C0C23"/>
    <w:rsid w:val="002C2F28"/>
    <w:rsid w:val="002D0FCA"/>
    <w:rsid w:val="002D21B1"/>
    <w:rsid w:val="002D2883"/>
    <w:rsid w:val="002D47EC"/>
    <w:rsid w:val="002D498B"/>
    <w:rsid w:val="002D543C"/>
    <w:rsid w:val="002D5C9F"/>
    <w:rsid w:val="002E2179"/>
    <w:rsid w:val="002E3A73"/>
    <w:rsid w:val="002E5A3D"/>
    <w:rsid w:val="002E6A2D"/>
    <w:rsid w:val="002E7FF0"/>
    <w:rsid w:val="002F130C"/>
    <w:rsid w:val="002F1E52"/>
    <w:rsid w:val="00313985"/>
    <w:rsid w:val="00316522"/>
    <w:rsid w:val="003178E3"/>
    <w:rsid w:val="00321F08"/>
    <w:rsid w:val="00322743"/>
    <w:rsid w:val="003235DC"/>
    <w:rsid w:val="0032366A"/>
    <w:rsid w:val="00325943"/>
    <w:rsid w:val="0032640D"/>
    <w:rsid w:val="003304AB"/>
    <w:rsid w:val="00330D39"/>
    <w:rsid w:val="00333A17"/>
    <w:rsid w:val="0033451D"/>
    <w:rsid w:val="00340F46"/>
    <w:rsid w:val="003445F7"/>
    <w:rsid w:val="00344C21"/>
    <w:rsid w:val="00344D46"/>
    <w:rsid w:val="00345514"/>
    <w:rsid w:val="00346291"/>
    <w:rsid w:val="00346E78"/>
    <w:rsid w:val="00350648"/>
    <w:rsid w:val="00350AD4"/>
    <w:rsid w:val="00351776"/>
    <w:rsid w:val="00351E58"/>
    <w:rsid w:val="00354322"/>
    <w:rsid w:val="00356DA4"/>
    <w:rsid w:val="00361377"/>
    <w:rsid w:val="0036173B"/>
    <w:rsid w:val="00365C3B"/>
    <w:rsid w:val="00367F69"/>
    <w:rsid w:val="003754A9"/>
    <w:rsid w:val="00376012"/>
    <w:rsid w:val="0038069A"/>
    <w:rsid w:val="00381499"/>
    <w:rsid w:val="003907C1"/>
    <w:rsid w:val="00391B0B"/>
    <w:rsid w:val="003940F8"/>
    <w:rsid w:val="0039558C"/>
    <w:rsid w:val="00396403"/>
    <w:rsid w:val="0039799F"/>
    <w:rsid w:val="003A61BD"/>
    <w:rsid w:val="003A72D0"/>
    <w:rsid w:val="003B094E"/>
    <w:rsid w:val="003B2A69"/>
    <w:rsid w:val="003C1BD5"/>
    <w:rsid w:val="003C2319"/>
    <w:rsid w:val="003C3739"/>
    <w:rsid w:val="003C73CF"/>
    <w:rsid w:val="003D0711"/>
    <w:rsid w:val="003D1243"/>
    <w:rsid w:val="003D3CBD"/>
    <w:rsid w:val="003D7F5B"/>
    <w:rsid w:val="003E43C3"/>
    <w:rsid w:val="003E595E"/>
    <w:rsid w:val="003E7CF7"/>
    <w:rsid w:val="003F088A"/>
    <w:rsid w:val="003F1BEC"/>
    <w:rsid w:val="003F2447"/>
    <w:rsid w:val="003F35D2"/>
    <w:rsid w:val="003F66D9"/>
    <w:rsid w:val="003F7EA8"/>
    <w:rsid w:val="004017C7"/>
    <w:rsid w:val="00402812"/>
    <w:rsid w:val="00404B3B"/>
    <w:rsid w:val="004101F8"/>
    <w:rsid w:val="004104B5"/>
    <w:rsid w:val="004141BB"/>
    <w:rsid w:val="0042505A"/>
    <w:rsid w:val="00430996"/>
    <w:rsid w:val="00435243"/>
    <w:rsid w:val="004379E8"/>
    <w:rsid w:val="00440C44"/>
    <w:rsid w:val="004410BD"/>
    <w:rsid w:val="004420A0"/>
    <w:rsid w:val="00453589"/>
    <w:rsid w:val="00453947"/>
    <w:rsid w:val="00457808"/>
    <w:rsid w:val="00460657"/>
    <w:rsid w:val="00463FA8"/>
    <w:rsid w:val="00465314"/>
    <w:rsid w:val="00466BE6"/>
    <w:rsid w:val="004745E6"/>
    <w:rsid w:val="00474B29"/>
    <w:rsid w:val="0047501E"/>
    <w:rsid w:val="00475F06"/>
    <w:rsid w:val="00476008"/>
    <w:rsid w:val="004776CB"/>
    <w:rsid w:val="004822B4"/>
    <w:rsid w:val="00483211"/>
    <w:rsid w:val="00484D98"/>
    <w:rsid w:val="00485018"/>
    <w:rsid w:val="00486135"/>
    <w:rsid w:val="0049036C"/>
    <w:rsid w:val="00492AB0"/>
    <w:rsid w:val="00495D1C"/>
    <w:rsid w:val="00496C46"/>
    <w:rsid w:val="0049797D"/>
    <w:rsid w:val="004A05EB"/>
    <w:rsid w:val="004A0EA8"/>
    <w:rsid w:val="004A1B4C"/>
    <w:rsid w:val="004A45C7"/>
    <w:rsid w:val="004A7A03"/>
    <w:rsid w:val="004A7FC4"/>
    <w:rsid w:val="004B2673"/>
    <w:rsid w:val="004B49E9"/>
    <w:rsid w:val="004C0369"/>
    <w:rsid w:val="004C093E"/>
    <w:rsid w:val="004C0B07"/>
    <w:rsid w:val="004C1625"/>
    <w:rsid w:val="004C1F0C"/>
    <w:rsid w:val="004C2D48"/>
    <w:rsid w:val="004C304D"/>
    <w:rsid w:val="004C378C"/>
    <w:rsid w:val="004C48A9"/>
    <w:rsid w:val="004C6C6B"/>
    <w:rsid w:val="004C7824"/>
    <w:rsid w:val="004D1557"/>
    <w:rsid w:val="004D2226"/>
    <w:rsid w:val="004D3D3F"/>
    <w:rsid w:val="004D488E"/>
    <w:rsid w:val="004D562D"/>
    <w:rsid w:val="004D6B0C"/>
    <w:rsid w:val="004D7A46"/>
    <w:rsid w:val="004E07E4"/>
    <w:rsid w:val="004E0EDD"/>
    <w:rsid w:val="004E6A65"/>
    <w:rsid w:val="004F0C20"/>
    <w:rsid w:val="004F2CEB"/>
    <w:rsid w:val="004F475F"/>
    <w:rsid w:val="004F74F5"/>
    <w:rsid w:val="004F7ED6"/>
    <w:rsid w:val="0050174C"/>
    <w:rsid w:val="00512328"/>
    <w:rsid w:val="005167F1"/>
    <w:rsid w:val="005204B4"/>
    <w:rsid w:val="00520686"/>
    <w:rsid w:val="00523750"/>
    <w:rsid w:val="005259C3"/>
    <w:rsid w:val="005259D4"/>
    <w:rsid w:val="0052700A"/>
    <w:rsid w:val="0053004C"/>
    <w:rsid w:val="00530B7E"/>
    <w:rsid w:val="00535204"/>
    <w:rsid w:val="00535485"/>
    <w:rsid w:val="005369E4"/>
    <w:rsid w:val="00543CC2"/>
    <w:rsid w:val="00545792"/>
    <w:rsid w:val="005479D1"/>
    <w:rsid w:val="00547D2A"/>
    <w:rsid w:val="005535BA"/>
    <w:rsid w:val="0055437C"/>
    <w:rsid w:val="0056259F"/>
    <w:rsid w:val="00563168"/>
    <w:rsid w:val="0056344B"/>
    <w:rsid w:val="00564071"/>
    <w:rsid w:val="00565367"/>
    <w:rsid w:val="0056563A"/>
    <w:rsid w:val="00567D43"/>
    <w:rsid w:val="005709C4"/>
    <w:rsid w:val="0057319C"/>
    <w:rsid w:val="00574A08"/>
    <w:rsid w:val="00576197"/>
    <w:rsid w:val="0058123D"/>
    <w:rsid w:val="005816AB"/>
    <w:rsid w:val="00581C8B"/>
    <w:rsid w:val="00582863"/>
    <w:rsid w:val="00585B0C"/>
    <w:rsid w:val="00586AC9"/>
    <w:rsid w:val="00586E94"/>
    <w:rsid w:val="00587A44"/>
    <w:rsid w:val="0059008D"/>
    <w:rsid w:val="00591096"/>
    <w:rsid w:val="00592DFB"/>
    <w:rsid w:val="005A310F"/>
    <w:rsid w:val="005A4580"/>
    <w:rsid w:val="005A4A16"/>
    <w:rsid w:val="005A504F"/>
    <w:rsid w:val="005A633C"/>
    <w:rsid w:val="005A6507"/>
    <w:rsid w:val="005B0269"/>
    <w:rsid w:val="005B3DAA"/>
    <w:rsid w:val="005C17FC"/>
    <w:rsid w:val="005C37DC"/>
    <w:rsid w:val="005C421A"/>
    <w:rsid w:val="005C4444"/>
    <w:rsid w:val="005C5882"/>
    <w:rsid w:val="005C64CA"/>
    <w:rsid w:val="005C6C32"/>
    <w:rsid w:val="005D09C2"/>
    <w:rsid w:val="005D25C3"/>
    <w:rsid w:val="005D44F9"/>
    <w:rsid w:val="005D48F7"/>
    <w:rsid w:val="005D5487"/>
    <w:rsid w:val="005D67AF"/>
    <w:rsid w:val="005D7EE8"/>
    <w:rsid w:val="005E018D"/>
    <w:rsid w:val="005E0C49"/>
    <w:rsid w:val="005E31A7"/>
    <w:rsid w:val="005E3506"/>
    <w:rsid w:val="005E3D03"/>
    <w:rsid w:val="005E458B"/>
    <w:rsid w:val="005E5988"/>
    <w:rsid w:val="005E7246"/>
    <w:rsid w:val="005E7AF7"/>
    <w:rsid w:val="00610CFE"/>
    <w:rsid w:val="00612743"/>
    <w:rsid w:val="00615A23"/>
    <w:rsid w:val="00615CF1"/>
    <w:rsid w:val="00620EFC"/>
    <w:rsid w:val="006219AB"/>
    <w:rsid w:val="00623B43"/>
    <w:rsid w:val="006252B5"/>
    <w:rsid w:val="00627F5B"/>
    <w:rsid w:val="006302FE"/>
    <w:rsid w:val="006361E3"/>
    <w:rsid w:val="006374F9"/>
    <w:rsid w:val="0064435C"/>
    <w:rsid w:val="0064464B"/>
    <w:rsid w:val="00650A8E"/>
    <w:rsid w:val="00653E8B"/>
    <w:rsid w:val="00654F6A"/>
    <w:rsid w:val="00662167"/>
    <w:rsid w:val="0066512C"/>
    <w:rsid w:val="0066710B"/>
    <w:rsid w:val="00671956"/>
    <w:rsid w:val="0067376A"/>
    <w:rsid w:val="006759C2"/>
    <w:rsid w:val="00681D4E"/>
    <w:rsid w:val="00681E27"/>
    <w:rsid w:val="00681F63"/>
    <w:rsid w:val="00692D42"/>
    <w:rsid w:val="00694C38"/>
    <w:rsid w:val="00695ECB"/>
    <w:rsid w:val="006A0F3A"/>
    <w:rsid w:val="006A2EDD"/>
    <w:rsid w:val="006A38A1"/>
    <w:rsid w:val="006A4DB9"/>
    <w:rsid w:val="006A6723"/>
    <w:rsid w:val="006B0C2F"/>
    <w:rsid w:val="006B2ED7"/>
    <w:rsid w:val="006B3BF7"/>
    <w:rsid w:val="006B66F5"/>
    <w:rsid w:val="006B673A"/>
    <w:rsid w:val="006C0D1A"/>
    <w:rsid w:val="006C0D68"/>
    <w:rsid w:val="006C2F64"/>
    <w:rsid w:val="006D1C18"/>
    <w:rsid w:val="006D28C5"/>
    <w:rsid w:val="006D517C"/>
    <w:rsid w:val="006D53A5"/>
    <w:rsid w:val="006D7F86"/>
    <w:rsid w:val="006E04C2"/>
    <w:rsid w:val="006E0BED"/>
    <w:rsid w:val="006E0F45"/>
    <w:rsid w:val="006E18C9"/>
    <w:rsid w:val="006E257B"/>
    <w:rsid w:val="006E40C8"/>
    <w:rsid w:val="006E6444"/>
    <w:rsid w:val="006F07F4"/>
    <w:rsid w:val="006F27E9"/>
    <w:rsid w:val="006F2964"/>
    <w:rsid w:val="006F3869"/>
    <w:rsid w:val="006F3C7A"/>
    <w:rsid w:val="006F4709"/>
    <w:rsid w:val="006F6C4F"/>
    <w:rsid w:val="006F75A0"/>
    <w:rsid w:val="007000D6"/>
    <w:rsid w:val="00701696"/>
    <w:rsid w:val="007019AF"/>
    <w:rsid w:val="00701A6B"/>
    <w:rsid w:val="007043B0"/>
    <w:rsid w:val="007057B5"/>
    <w:rsid w:val="00710D83"/>
    <w:rsid w:val="007114CA"/>
    <w:rsid w:val="007124A1"/>
    <w:rsid w:val="00712665"/>
    <w:rsid w:val="007128E3"/>
    <w:rsid w:val="00714E50"/>
    <w:rsid w:val="00714F87"/>
    <w:rsid w:val="00721311"/>
    <w:rsid w:val="00723035"/>
    <w:rsid w:val="00723305"/>
    <w:rsid w:val="007259EF"/>
    <w:rsid w:val="00726A50"/>
    <w:rsid w:val="007271F2"/>
    <w:rsid w:val="00732E86"/>
    <w:rsid w:val="0073766E"/>
    <w:rsid w:val="0074479E"/>
    <w:rsid w:val="00745480"/>
    <w:rsid w:val="0075067B"/>
    <w:rsid w:val="00752368"/>
    <w:rsid w:val="00754A3A"/>
    <w:rsid w:val="00756FB7"/>
    <w:rsid w:val="007613A4"/>
    <w:rsid w:val="00763F53"/>
    <w:rsid w:val="00766D6C"/>
    <w:rsid w:val="00767245"/>
    <w:rsid w:val="007700EF"/>
    <w:rsid w:val="00775983"/>
    <w:rsid w:val="00776585"/>
    <w:rsid w:val="00782180"/>
    <w:rsid w:val="00783253"/>
    <w:rsid w:val="00784041"/>
    <w:rsid w:val="00784BA3"/>
    <w:rsid w:val="007854D6"/>
    <w:rsid w:val="00786B55"/>
    <w:rsid w:val="0079036C"/>
    <w:rsid w:val="007908BA"/>
    <w:rsid w:val="00790DC0"/>
    <w:rsid w:val="00790ED1"/>
    <w:rsid w:val="00792443"/>
    <w:rsid w:val="007928A1"/>
    <w:rsid w:val="0079305F"/>
    <w:rsid w:val="00793E0B"/>
    <w:rsid w:val="00794C0B"/>
    <w:rsid w:val="00795AC6"/>
    <w:rsid w:val="00796269"/>
    <w:rsid w:val="00796E52"/>
    <w:rsid w:val="007A2176"/>
    <w:rsid w:val="007A28ED"/>
    <w:rsid w:val="007A4781"/>
    <w:rsid w:val="007A6624"/>
    <w:rsid w:val="007A6654"/>
    <w:rsid w:val="007A6F64"/>
    <w:rsid w:val="007A75E3"/>
    <w:rsid w:val="007A7D73"/>
    <w:rsid w:val="007B081A"/>
    <w:rsid w:val="007B1E82"/>
    <w:rsid w:val="007B414A"/>
    <w:rsid w:val="007B4978"/>
    <w:rsid w:val="007B73A3"/>
    <w:rsid w:val="007C064C"/>
    <w:rsid w:val="007C0FC7"/>
    <w:rsid w:val="007C3322"/>
    <w:rsid w:val="007C3FAD"/>
    <w:rsid w:val="007D0548"/>
    <w:rsid w:val="007D1E3B"/>
    <w:rsid w:val="007D576C"/>
    <w:rsid w:val="007D7A99"/>
    <w:rsid w:val="007D7D25"/>
    <w:rsid w:val="007E11F1"/>
    <w:rsid w:val="007E2BB6"/>
    <w:rsid w:val="007E63A6"/>
    <w:rsid w:val="007E728E"/>
    <w:rsid w:val="007F0A73"/>
    <w:rsid w:val="007F0DC8"/>
    <w:rsid w:val="007F1DC2"/>
    <w:rsid w:val="007F3D2E"/>
    <w:rsid w:val="007F444E"/>
    <w:rsid w:val="007F5412"/>
    <w:rsid w:val="007F6A3F"/>
    <w:rsid w:val="008007F3"/>
    <w:rsid w:val="00805612"/>
    <w:rsid w:val="00806973"/>
    <w:rsid w:val="00811FA9"/>
    <w:rsid w:val="008128AB"/>
    <w:rsid w:val="00820433"/>
    <w:rsid w:val="00821210"/>
    <w:rsid w:val="0082158A"/>
    <w:rsid w:val="00823518"/>
    <w:rsid w:val="0083017C"/>
    <w:rsid w:val="00832D65"/>
    <w:rsid w:val="00834302"/>
    <w:rsid w:val="00835CE5"/>
    <w:rsid w:val="0084393E"/>
    <w:rsid w:val="00844CD6"/>
    <w:rsid w:val="00847FB7"/>
    <w:rsid w:val="0085087D"/>
    <w:rsid w:val="00851E6B"/>
    <w:rsid w:val="0085329A"/>
    <w:rsid w:val="0085418C"/>
    <w:rsid w:val="008557C1"/>
    <w:rsid w:val="0085643B"/>
    <w:rsid w:val="0085796A"/>
    <w:rsid w:val="00860664"/>
    <w:rsid w:val="00860BBD"/>
    <w:rsid w:val="00862D3B"/>
    <w:rsid w:val="0086517F"/>
    <w:rsid w:val="0086548D"/>
    <w:rsid w:val="008654BF"/>
    <w:rsid w:val="00867335"/>
    <w:rsid w:val="00870A71"/>
    <w:rsid w:val="00872CFD"/>
    <w:rsid w:val="00874D6A"/>
    <w:rsid w:val="00881C93"/>
    <w:rsid w:val="00882F8A"/>
    <w:rsid w:val="00883D22"/>
    <w:rsid w:val="00884BB0"/>
    <w:rsid w:val="00890D3E"/>
    <w:rsid w:val="00893315"/>
    <w:rsid w:val="00896535"/>
    <w:rsid w:val="008A013D"/>
    <w:rsid w:val="008A0C24"/>
    <w:rsid w:val="008A0E15"/>
    <w:rsid w:val="008A1854"/>
    <w:rsid w:val="008A47D9"/>
    <w:rsid w:val="008A53CE"/>
    <w:rsid w:val="008A653B"/>
    <w:rsid w:val="008B2250"/>
    <w:rsid w:val="008B2460"/>
    <w:rsid w:val="008B5764"/>
    <w:rsid w:val="008B5D4F"/>
    <w:rsid w:val="008B737C"/>
    <w:rsid w:val="008C1D78"/>
    <w:rsid w:val="008C1F25"/>
    <w:rsid w:val="008C3289"/>
    <w:rsid w:val="008C3E1E"/>
    <w:rsid w:val="008C5E1F"/>
    <w:rsid w:val="008D4C4A"/>
    <w:rsid w:val="008D4DEB"/>
    <w:rsid w:val="008E02D7"/>
    <w:rsid w:val="008E04E4"/>
    <w:rsid w:val="008E0D07"/>
    <w:rsid w:val="008E1821"/>
    <w:rsid w:val="008E2E47"/>
    <w:rsid w:val="008E664C"/>
    <w:rsid w:val="008F02F1"/>
    <w:rsid w:val="008F323C"/>
    <w:rsid w:val="008F4888"/>
    <w:rsid w:val="008F4AB8"/>
    <w:rsid w:val="008F5EDB"/>
    <w:rsid w:val="008F7371"/>
    <w:rsid w:val="008F7565"/>
    <w:rsid w:val="008F7DF7"/>
    <w:rsid w:val="00903717"/>
    <w:rsid w:val="00903753"/>
    <w:rsid w:val="00905E02"/>
    <w:rsid w:val="00906586"/>
    <w:rsid w:val="00906892"/>
    <w:rsid w:val="00912D3C"/>
    <w:rsid w:val="00916465"/>
    <w:rsid w:val="00917E2F"/>
    <w:rsid w:val="00920A09"/>
    <w:rsid w:val="00922E69"/>
    <w:rsid w:val="009249AF"/>
    <w:rsid w:val="009254AE"/>
    <w:rsid w:val="00926B01"/>
    <w:rsid w:val="00926E9B"/>
    <w:rsid w:val="009359B6"/>
    <w:rsid w:val="00937B72"/>
    <w:rsid w:val="00941AE8"/>
    <w:rsid w:val="00943E9B"/>
    <w:rsid w:val="00944E5C"/>
    <w:rsid w:val="00946008"/>
    <w:rsid w:val="00946FFA"/>
    <w:rsid w:val="009475AC"/>
    <w:rsid w:val="009558C5"/>
    <w:rsid w:val="009701B8"/>
    <w:rsid w:val="0097308C"/>
    <w:rsid w:val="0097542C"/>
    <w:rsid w:val="009775DB"/>
    <w:rsid w:val="00981971"/>
    <w:rsid w:val="00982490"/>
    <w:rsid w:val="00982994"/>
    <w:rsid w:val="00982CA7"/>
    <w:rsid w:val="009838B8"/>
    <w:rsid w:val="0098664A"/>
    <w:rsid w:val="009958DA"/>
    <w:rsid w:val="00996B2B"/>
    <w:rsid w:val="00997AAC"/>
    <w:rsid w:val="009A20BA"/>
    <w:rsid w:val="009A3DD2"/>
    <w:rsid w:val="009A4359"/>
    <w:rsid w:val="009A53C8"/>
    <w:rsid w:val="009A5DF5"/>
    <w:rsid w:val="009B18A9"/>
    <w:rsid w:val="009B3495"/>
    <w:rsid w:val="009B3961"/>
    <w:rsid w:val="009B4B8B"/>
    <w:rsid w:val="009B4F51"/>
    <w:rsid w:val="009C5EEC"/>
    <w:rsid w:val="009C66DC"/>
    <w:rsid w:val="009D39C4"/>
    <w:rsid w:val="009D4255"/>
    <w:rsid w:val="009D5D45"/>
    <w:rsid w:val="009D6F05"/>
    <w:rsid w:val="009E09BE"/>
    <w:rsid w:val="009E13D7"/>
    <w:rsid w:val="009E30FF"/>
    <w:rsid w:val="009E34FA"/>
    <w:rsid w:val="009E4FC4"/>
    <w:rsid w:val="009E7220"/>
    <w:rsid w:val="009F0F01"/>
    <w:rsid w:val="009F20DE"/>
    <w:rsid w:val="009F34A5"/>
    <w:rsid w:val="009F60E1"/>
    <w:rsid w:val="00A0642E"/>
    <w:rsid w:val="00A072D6"/>
    <w:rsid w:val="00A136D6"/>
    <w:rsid w:val="00A14C1A"/>
    <w:rsid w:val="00A23DF4"/>
    <w:rsid w:val="00A25067"/>
    <w:rsid w:val="00A26002"/>
    <w:rsid w:val="00A27C6F"/>
    <w:rsid w:val="00A32EE9"/>
    <w:rsid w:val="00A34A09"/>
    <w:rsid w:val="00A413E0"/>
    <w:rsid w:val="00A44650"/>
    <w:rsid w:val="00A453D8"/>
    <w:rsid w:val="00A46D8A"/>
    <w:rsid w:val="00A50078"/>
    <w:rsid w:val="00A557A2"/>
    <w:rsid w:val="00A5615F"/>
    <w:rsid w:val="00A60BD6"/>
    <w:rsid w:val="00A60FC4"/>
    <w:rsid w:val="00A6357D"/>
    <w:rsid w:val="00A64566"/>
    <w:rsid w:val="00A64874"/>
    <w:rsid w:val="00A649DC"/>
    <w:rsid w:val="00A665BD"/>
    <w:rsid w:val="00A73407"/>
    <w:rsid w:val="00A74FEF"/>
    <w:rsid w:val="00A802A0"/>
    <w:rsid w:val="00A81060"/>
    <w:rsid w:val="00A81680"/>
    <w:rsid w:val="00A8227F"/>
    <w:rsid w:val="00A826BD"/>
    <w:rsid w:val="00A846A3"/>
    <w:rsid w:val="00A86183"/>
    <w:rsid w:val="00A91E45"/>
    <w:rsid w:val="00A955F5"/>
    <w:rsid w:val="00A9690B"/>
    <w:rsid w:val="00AA1EB7"/>
    <w:rsid w:val="00AA2EE8"/>
    <w:rsid w:val="00AA322A"/>
    <w:rsid w:val="00AA60C4"/>
    <w:rsid w:val="00AA7D9B"/>
    <w:rsid w:val="00AB1DE2"/>
    <w:rsid w:val="00AB4AF4"/>
    <w:rsid w:val="00AC0E81"/>
    <w:rsid w:val="00AC17E8"/>
    <w:rsid w:val="00AC29CA"/>
    <w:rsid w:val="00AC5E59"/>
    <w:rsid w:val="00AC6D43"/>
    <w:rsid w:val="00AD1FD3"/>
    <w:rsid w:val="00AD24E2"/>
    <w:rsid w:val="00AD2F67"/>
    <w:rsid w:val="00AE0211"/>
    <w:rsid w:val="00AE084D"/>
    <w:rsid w:val="00AE0DF0"/>
    <w:rsid w:val="00AE1144"/>
    <w:rsid w:val="00AE1420"/>
    <w:rsid w:val="00AE1937"/>
    <w:rsid w:val="00AE1EDA"/>
    <w:rsid w:val="00AE41B8"/>
    <w:rsid w:val="00AE49D1"/>
    <w:rsid w:val="00AF1846"/>
    <w:rsid w:val="00AF24A5"/>
    <w:rsid w:val="00AF2623"/>
    <w:rsid w:val="00AF3824"/>
    <w:rsid w:val="00B00DEE"/>
    <w:rsid w:val="00B025B5"/>
    <w:rsid w:val="00B02E9E"/>
    <w:rsid w:val="00B066F6"/>
    <w:rsid w:val="00B1419B"/>
    <w:rsid w:val="00B2120F"/>
    <w:rsid w:val="00B22437"/>
    <w:rsid w:val="00B22600"/>
    <w:rsid w:val="00B24B89"/>
    <w:rsid w:val="00B26A13"/>
    <w:rsid w:val="00B31E51"/>
    <w:rsid w:val="00B31ED6"/>
    <w:rsid w:val="00B337C7"/>
    <w:rsid w:val="00B35563"/>
    <w:rsid w:val="00B3767C"/>
    <w:rsid w:val="00B37EE2"/>
    <w:rsid w:val="00B41E23"/>
    <w:rsid w:val="00B41E7A"/>
    <w:rsid w:val="00B42D67"/>
    <w:rsid w:val="00B42D6C"/>
    <w:rsid w:val="00B44172"/>
    <w:rsid w:val="00B45503"/>
    <w:rsid w:val="00B46286"/>
    <w:rsid w:val="00B47C14"/>
    <w:rsid w:val="00B51DBF"/>
    <w:rsid w:val="00B52E3F"/>
    <w:rsid w:val="00B538E7"/>
    <w:rsid w:val="00B53E36"/>
    <w:rsid w:val="00B53ECF"/>
    <w:rsid w:val="00B56ED3"/>
    <w:rsid w:val="00B60BEE"/>
    <w:rsid w:val="00B61140"/>
    <w:rsid w:val="00B64540"/>
    <w:rsid w:val="00B72305"/>
    <w:rsid w:val="00B75BC3"/>
    <w:rsid w:val="00B76D13"/>
    <w:rsid w:val="00B8257D"/>
    <w:rsid w:val="00B8259F"/>
    <w:rsid w:val="00B83590"/>
    <w:rsid w:val="00B837CA"/>
    <w:rsid w:val="00B874C2"/>
    <w:rsid w:val="00B87E89"/>
    <w:rsid w:val="00B9128C"/>
    <w:rsid w:val="00B9365C"/>
    <w:rsid w:val="00B93E3C"/>
    <w:rsid w:val="00B94C99"/>
    <w:rsid w:val="00BA15E6"/>
    <w:rsid w:val="00BA2ACC"/>
    <w:rsid w:val="00BA377F"/>
    <w:rsid w:val="00BA4FB2"/>
    <w:rsid w:val="00BB31FB"/>
    <w:rsid w:val="00BB6E9B"/>
    <w:rsid w:val="00BC1077"/>
    <w:rsid w:val="00BC31AE"/>
    <w:rsid w:val="00BC36E7"/>
    <w:rsid w:val="00BC3DE3"/>
    <w:rsid w:val="00BC78B6"/>
    <w:rsid w:val="00BD23B4"/>
    <w:rsid w:val="00BD37D0"/>
    <w:rsid w:val="00BD7423"/>
    <w:rsid w:val="00BE1992"/>
    <w:rsid w:val="00BE23F4"/>
    <w:rsid w:val="00BE344D"/>
    <w:rsid w:val="00BE3677"/>
    <w:rsid w:val="00BE41DA"/>
    <w:rsid w:val="00BE4606"/>
    <w:rsid w:val="00BE6DD0"/>
    <w:rsid w:val="00BF1AC9"/>
    <w:rsid w:val="00BF2564"/>
    <w:rsid w:val="00BF32A4"/>
    <w:rsid w:val="00BF587B"/>
    <w:rsid w:val="00BF7867"/>
    <w:rsid w:val="00C01BC4"/>
    <w:rsid w:val="00C01C98"/>
    <w:rsid w:val="00C026D3"/>
    <w:rsid w:val="00C03664"/>
    <w:rsid w:val="00C04025"/>
    <w:rsid w:val="00C054E8"/>
    <w:rsid w:val="00C1020B"/>
    <w:rsid w:val="00C105CF"/>
    <w:rsid w:val="00C16479"/>
    <w:rsid w:val="00C169EC"/>
    <w:rsid w:val="00C21726"/>
    <w:rsid w:val="00C23D95"/>
    <w:rsid w:val="00C24E23"/>
    <w:rsid w:val="00C2519B"/>
    <w:rsid w:val="00C2596D"/>
    <w:rsid w:val="00C25B3B"/>
    <w:rsid w:val="00C32177"/>
    <w:rsid w:val="00C3379A"/>
    <w:rsid w:val="00C339D8"/>
    <w:rsid w:val="00C36A89"/>
    <w:rsid w:val="00C43ECD"/>
    <w:rsid w:val="00C4520E"/>
    <w:rsid w:val="00C45D0C"/>
    <w:rsid w:val="00C5033A"/>
    <w:rsid w:val="00C51B40"/>
    <w:rsid w:val="00C521F3"/>
    <w:rsid w:val="00C527E7"/>
    <w:rsid w:val="00C570D5"/>
    <w:rsid w:val="00C60A9A"/>
    <w:rsid w:val="00C62512"/>
    <w:rsid w:val="00C631F2"/>
    <w:rsid w:val="00C64073"/>
    <w:rsid w:val="00C64B2A"/>
    <w:rsid w:val="00C6766E"/>
    <w:rsid w:val="00C70A39"/>
    <w:rsid w:val="00C72B7A"/>
    <w:rsid w:val="00C72CD9"/>
    <w:rsid w:val="00C73468"/>
    <w:rsid w:val="00C74168"/>
    <w:rsid w:val="00C765EA"/>
    <w:rsid w:val="00C817D4"/>
    <w:rsid w:val="00C85768"/>
    <w:rsid w:val="00C85C92"/>
    <w:rsid w:val="00C8603A"/>
    <w:rsid w:val="00C9601B"/>
    <w:rsid w:val="00C96D87"/>
    <w:rsid w:val="00C9752A"/>
    <w:rsid w:val="00CA30F6"/>
    <w:rsid w:val="00CA3383"/>
    <w:rsid w:val="00CA4940"/>
    <w:rsid w:val="00CA54C6"/>
    <w:rsid w:val="00CA5DB6"/>
    <w:rsid w:val="00CB2B66"/>
    <w:rsid w:val="00CB4170"/>
    <w:rsid w:val="00CC076D"/>
    <w:rsid w:val="00CC53E5"/>
    <w:rsid w:val="00CC56E9"/>
    <w:rsid w:val="00CC57BC"/>
    <w:rsid w:val="00CD12CF"/>
    <w:rsid w:val="00CD18D1"/>
    <w:rsid w:val="00CD1D1C"/>
    <w:rsid w:val="00CD27AB"/>
    <w:rsid w:val="00CD39C2"/>
    <w:rsid w:val="00CD3D6D"/>
    <w:rsid w:val="00CE17E6"/>
    <w:rsid w:val="00CE2428"/>
    <w:rsid w:val="00CE3F79"/>
    <w:rsid w:val="00CE7901"/>
    <w:rsid w:val="00CF53F6"/>
    <w:rsid w:val="00CF685C"/>
    <w:rsid w:val="00D021EB"/>
    <w:rsid w:val="00D04331"/>
    <w:rsid w:val="00D058C1"/>
    <w:rsid w:val="00D10612"/>
    <w:rsid w:val="00D157D3"/>
    <w:rsid w:val="00D1669D"/>
    <w:rsid w:val="00D21273"/>
    <w:rsid w:val="00D236BC"/>
    <w:rsid w:val="00D24876"/>
    <w:rsid w:val="00D250D0"/>
    <w:rsid w:val="00D27E9F"/>
    <w:rsid w:val="00D301CE"/>
    <w:rsid w:val="00D314B6"/>
    <w:rsid w:val="00D3179D"/>
    <w:rsid w:val="00D32508"/>
    <w:rsid w:val="00D34345"/>
    <w:rsid w:val="00D44BEB"/>
    <w:rsid w:val="00D470EA"/>
    <w:rsid w:val="00D501D4"/>
    <w:rsid w:val="00D51770"/>
    <w:rsid w:val="00D538D4"/>
    <w:rsid w:val="00D53F69"/>
    <w:rsid w:val="00D5516D"/>
    <w:rsid w:val="00D56A6D"/>
    <w:rsid w:val="00D579AE"/>
    <w:rsid w:val="00D656F6"/>
    <w:rsid w:val="00D67D17"/>
    <w:rsid w:val="00D7065C"/>
    <w:rsid w:val="00D71ADC"/>
    <w:rsid w:val="00D72A4A"/>
    <w:rsid w:val="00D7308E"/>
    <w:rsid w:val="00D758E6"/>
    <w:rsid w:val="00D76443"/>
    <w:rsid w:val="00D8054E"/>
    <w:rsid w:val="00D80AEC"/>
    <w:rsid w:val="00D81FED"/>
    <w:rsid w:val="00D84FA6"/>
    <w:rsid w:val="00D85692"/>
    <w:rsid w:val="00D90D55"/>
    <w:rsid w:val="00D91EB2"/>
    <w:rsid w:val="00D93ACA"/>
    <w:rsid w:val="00D944C2"/>
    <w:rsid w:val="00DA25BA"/>
    <w:rsid w:val="00DA5AA1"/>
    <w:rsid w:val="00DB1117"/>
    <w:rsid w:val="00DB1629"/>
    <w:rsid w:val="00DB3427"/>
    <w:rsid w:val="00DB49B9"/>
    <w:rsid w:val="00DB515B"/>
    <w:rsid w:val="00DC1C56"/>
    <w:rsid w:val="00DC2F31"/>
    <w:rsid w:val="00DC5047"/>
    <w:rsid w:val="00DD328B"/>
    <w:rsid w:val="00DE00C5"/>
    <w:rsid w:val="00DE0B77"/>
    <w:rsid w:val="00DE20A0"/>
    <w:rsid w:val="00DE4DAA"/>
    <w:rsid w:val="00DE5597"/>
    <w:rsid w:val="00DE799B"/>
    <w:rsid w:val="00DF06DE"/>
    <w:rsid w:val="00DF1B7B"/>
    <w:rsid w:val="00DF6C5C"/>
    <w:rsid w:val="00DF71FD"/>
    <w:rsid w:val="00E00C1A"/>
    <w:rsid w:val="00E00C4B"/>
    <w:rsid w:val="00E016C1"/>
    <w:rsid w:val="00E02615"/>
    <w:rsid w:val="00E073A8"/>
    <w:rsid w:val="00E07753"/>
    <w:rsid w:val="00E14335"/>
    <w:rsid w:val="00E17D23"/>
    <w:rsid w:val="00E201EB"/>
    <w:rsid w:val="00E20A60"/>
    <w:rsid w:val="00E2355E"/>
    <w:rsid w:val="00E271DB"/>
    <w:rsid w:val="00E30FDB"/>
    <w:rsid w:val="00E32A01"/>
    <w:rsid w:val="00E35110"/>
    <w:rsid w:val="00E358FB"/>
    <w:rsid w:val="00E373B1"/>
    <w:rsid w:val="00E41F0D"/>
    <w:rsid w:val="00E431A9"/>
    <w:rsid w:val="00E44660"/>
    <w:rsid w:val="00E44C41"/>
    <w:rsid w:val="00E50187"/>
    <w:rsid w:val="00E50799"/>
    <w:rsid w:val="00E51550"/>
    <w:rsid w:val="00E53595"/>
    <w:rsid w:val="00E556ED"/>
    <w:rsid w:val="00E56616"/>
    <w:rsid w:val="00E56F78"/>
    <w:rsid w:val="00E57F22"/>
    <w:rsid w:val="00E600DC"/>
    <w:rsid w:val="00E638C8"/>
    <w:rsid w:val="00E65097"/>
    <w:rsid w:val="00E703C1"/>
    <w:rsid w:val="00E7204C"/>
    <w:rsid w:val="00E73023"/>
    <w:rsid w:val="00E75184"/>
    <w:rsid w:val="00E75A1C"/>
    <w:rsid w:val="00E844D7"/>
    <w:rsid w:val="00E85971"/>
    <w:rsid w:val="00E869C6"/>
    <w:rsid w:val="00E92559"/>
    <w:rsid w:val="00E953C7"/>
    <w:rsid w:val="00E96B71"/>
    <w:rsid w:val="00E975B7"/>
    <w:rsid w:val="00EA0C0F"/>
    <w:rsid w:val="00EA63BD"/>
    <w:rsid w:val="00EA6661"/>
    <w:rsid w:val="00EA714C"/>
    <w:rsid w:val="00EB0000"/>
    <w:rsid w:val="00EB0D3F"/>
    <w:rsid w:val="00EB0E83"/>
    <w:rsid w:val="00EB53A7"/>
    <w:rsid w:val="00EB678D"/>
    <w:rsid w:val="00EC14AD"/>
    <w:rsid w:val="00EC4FE7"/>
    <w:rsid w:val="00ED1DC8"/>
    <w:rsid w:val="00ED5009"/>
    <w:rsid w:val="00ED678B"/>
    <w:rsid w:val="00ED752C"/>
    <w:rsid w:val="00EE0A2D"/>
    <w:rsid w:val="00EE3254"/>
    <w:rsid w:val="00EE34B1"/>
    <w:rsid w:val="00EE393A"/>
    <w:rsid w:val="00EE43EA"/>
    <w:rsid w:val="00EE4661"/>
    <w:rsid w:val="00EE63CB"/>
    <w:rsid w:val="00EF4343"/>
    <w:rsid w:val="00EF6524"/>
    <w:rsid w:val="00EF68A4"/>
    <w:rsid w:val="00F01E7E"/>
    <w:rsid w:val="00F038F8"/>
    <w:rsid w:val="00F04676"/>
    <w:rsid w:val="00F05B16"/>
    <w:rsid w:val="00F10291"/>
    <w:rsid w:val="00F11E22"/>
    <w:rsid w:val="00F15F57"/>
    <w:rsid w:val="00F253C8"/>
    <w:rsid w:val="00F25CF7"/>
    <w:rsid w:val="00F261D1"/>
    <w:rsid w:val="00F30CFB"/>
    <w:rsid w:val="00F315FA"/>
    <w:rsid w:val="00F3394B"/>
    <w:rsid w:val="00F365BE"/>
    <w:rsid w:val="00F4074A"/>
    <w:rsid w:val="00F42D8A"/>
    <w:rsid w:val="00F44587"/>
    <w:rsid w:val="00F45A43"/>
    <w:rsid w:val="00F476B6"/>
    <w:rsid w:val="00F5140B"/>
    <w:rsid w:val="00F51523"/>
    <w:rsid w:val="00F60A88"/>
    <w:rsid w:val="00F627F2"/>
    <w:rsid w:val="00F64FEB"/>
    <w:rsid w:val="00F6604C"/>
    <w:rsid w:val="00F66141"/>
    <w:rsid w:val="00F6724A"/>
    <w:rsid w:val="00F72D8F"/>
    <w:rsid w:val="00F73675"/>
    <w:rsid w:val="00F75544"/>
    <w:rsid w:val="00F76A84"/>
    <w:rsid w:val="00F86E63"/>
    <w:rsid w:val="00F900F3"/>
    <w:rsid w:val="00F92B2F"/>
    <w:rsid w:val="00F94937"/>
    <w:rsid w:val="00F9501C"/>
    <w:rsid w:val="00F95408"/>
    <w:rsid w:val="00FA1BC6"/>
    <w:rsid w:val="00FA2D97"/>
    <w:rsid w:val="00FA4B70"/>
    <w:rsid w:val="00FA61D1"/>
    <w:rsid w:val="00FA6301"/>
    <w:rsid w:val="00FA6F55"/>
    <w:rsid w:val="00FA71E4"/>
    <w:rsid w:val="00FB1317"/>
    <w:rsid w:val="00FB14C8"/>
    <w:rsid w:val="00FB1E3F"/>
    <w:rsid w:val="00FB2484"/>
    <w:rsid w:val="00FB2DA6"/>
    <w:rsid w:val="00FB484B"/>
    <w:rsid w:val="00FB544A"/>
    <w:rsid w:val="00FC0D98"/>
    <w:rsid w:val="00FD5701"/>
    <w:rsid w:val="00FD6553"/>
    <w:rsid w:val="00FD6B49"/>
    <w:rsid w:val="00FE0178"/>
    <w:rsid w:val="00FE28CA"/>
    <w:rsid w:val="00FE44A7"/>
    <w:rsid w:val="00FE69CA"/>
    <w:rsid w:val="00FF022A"/>
    <w:rsid w:val="00FF0706"/>
    <w:rsid w:val="00FF1F1A"/>
    <w:rsid w:val="00FF57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5:docId w15:val="{45B34846-5CBE-482D-8EDE-C38BC53A8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44D46"/>
    <w:rPr>
      <w:rFonts w:ascii="Arial" w:hAnsi="Arial"/>
      <w:sz w:val="22"/>
      <w:szCs w:val="22"/>
    </w:rPr>
  </w:style>
  <w:style w:type="paragraph" w:styleId="Nadpis1">
    <w:name w:val="heading 1"/>
    <w:aliases w:val="h1,Heading1,1,11,12,111,13,112,121,1111,RFP,Aliatel,JK Chapter,AL Chapter,A,PA Chapter"/>
    <w:basedOn w:val="Normln"/>
    <w:next w:val="Normln"/>
    <w:qFormat/>
    <w:rsid w:val="00F73675"/>
    <w:pPr>
      <w:keepNext/>
      <w:numPr>
        <w:numId w:val="20"/>
      </w:numPr>
      <w:outlineLvl w:val="0"/>
    </w:pPr>
    <w:rPr>
      <w:snapToGrid w:val="0"/>
      <w:sz w:val="24"/>
    </w:rPr>
  </w:style>
  <w:style w:type="paragraph" w:styleId="Nadpis2">
    <w:name w:val="heading 2"/>
    <w:aliases w:val="h2,Heading2,2,21,22,211,RFP Aliatel,JK Major Section,AL Major Section,H2,B,PA Major Section"/>
    <w:basedOn w:val="Normln"/>
    <w:next w:val="Normln"/>
    <w:qFormat/>
    <w:rsid w:val="00F73675"/>
    <w:pPr>
      <w:keepNext/>
      <w:numPr>
        <w:ilvl w:val="1"/>
        <w:numId w:val="19"/>
      </w:numPr>
      <w:jc w:val="center"/>
      <w:outlineLvl w:val="1"/>
    </w:pPr>
    <w:rPr>
      <w:snapToGrid w:val="0"/>
    </w:rPr>
  </w:style>
  <w:style w:type="paragraph" w:styleId="Nadpis3">
    <w:name w:val="heading 3"/>
    <w:aliases w:val="h3,l3,Heading3,3,31"/>
    <w:basedOn w:val="Normln"/>
    <w:next w:val="Normln"/>
    <w:qFormat/>
    <w:rsid w:val="00F73675"/>
    <w:pPr>
      <w:keepNext/>
      <w:outlineLvl w:val="2"/>
    </w:pPr>
    <w:rPr>
      <w:b/>
      <w:snapToGrid w:val="0"/>
      <w:color w:val="FF0000"/>
      <w:sz w:val="24"/>
    </w:rPr>
  </w:style>
  <w:style w:type="paragraph" w:styleId="Nadpis4">
    <w:name w:val="heading 4"/>
    <w:aliases w:val="h4,Heading4,4,41,Nadpis 4a"/>
    <w:basedOn w:val="Normln"/>
    <w:next w:val="Normln"/>
    <w:qFormat/>
    <w:rsid w:val="00F73675"/>
    <w:pPr>
      <w:keepNext/>
      <w:ind w:left="57"/>
      <w:outlineLvl w:val="3"/>
    </w:pPr>
    <w:rPr>
      <w:i/>
      <w:snapToGrid w:val="0"/>
    </w:rPr>
  </w:style>
  <w:style w:type="paragraph" w:styleId="Nadpis5">
    <w:name w:val="heading 5"/>
    <w:aliases w:val="5,51"/>
    <w:basedOn w:val="Normln"/>
    <w:next w:val="Normln"/>
    <w:qFormat/>
    <w:rsid w:val="00F73675"/>
    <w:pPr>
      <w:keepNext/>
      <w:outlineLvl w:val="4"/>
    </w:pPr>
    <w:rPr>
      <w:i/>
      <w:snapToGrid w:val="0"/>
    </w:rPr>
  </w:style>
  <w:style w:type="paragraph" w:styleId="Nadpis6">
    <w:name w:val="heading 6"/>
    <w:aliases w:val="6"/>
    <w:basedOn w:val="Normln"/>
    <w:next w:val="Normln"/>
    <w:qFormat/>
    <w:rsid w:val="00F73675"/>
    <w:pPr>
      <w:keepNext/>
      <w:numPr>
        <w:ilvl w:val="5"/>
        <w:numId w:val="1"/>
      </w:numPr>
      <w:outlineLvl w:val="5"/>
    </w:pPr>
    <w:rPr>
      <w:b/>
      <w:sz w:val="28"/>
    </w:rPr>
  </w:style>
  <w:style w:type="paragraph" w:styleId="Nadpis7">
    <w:name w:val="heading 7"/>
    <w:aliases w:val="7,Objective,req3,heading&#10;7,heading7"/>
    <w:basedOn w:val="Normln"/>
    <w:next w:val="Normln"/>
    <w:qFormat/>
    <w:rsid w:val="00F73675"/>
    <w:pPr>
      <w:keepNext/>
      <w:numPr>
        <w:ilvl w:val="6"/>
        <w:numId w:val="1"/>
      </w:numPr>
      <w:outlineLvl w:val="6"/>
    </w:pPr>
    <w:rPr>
      <w:b/>
    </w:rPr>
  </w:style>
  <w:style w:type="paragraph" w:styleId="Nadpis8">
    <w:name w:val="heading 8"/>
    <w:basedOn w:val="Normln"/>
    <w:next w:val="Normln"/>
    <w:qFormat/>
    <w:rsid w:val="00F73675"/>
    <w:pPr>
      <w:keepNext/>
      <w:numPr>
        <w:ilvl w:val="7"/>
        <w:numId w:val="1"/>
      </w:numPr>
      <w:spacing w:line="360" w:lineRule="atLeast"/>
      <w:jc w:val="right"/>
      <w:outlineLvl w:val="7"/>
    </w:pPr>
    <w:rPr>
      <w:spacing w:val="5"/>
      <w:sz w:val="24"/>
    </w:rPr>
  </w:style>
  <w:style w:type="paragraph" w:styleId="Nadpis9">
    <w:name w:val="heading 9"/>
    <w:basedOn w:val="Normln"/>
    <w:next w:val="Normln"/>
    <w:qFormat/>
    <w:rsid w:val="00F73675"/>
    <w:pPr>
      <w:keepNext/>
      <w:numPr>
        <w:ilvl w:val="8"/>
        <w:numId w:val="1"/>
      </w:numPr>
      <w:jc w:val="center"/>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73675"/>
    <w:pPr>
      <w:tabs>
        <w:tab w:val="center" w:pos="4536"/>
        <w:tab w:val="right" w:pos="9072"/>
      </w:tabs>
    </w:pPr>
  </w:style>
  <w:style w:type="paragraph" w:styleId="Zpat">
    <w:name w:val="footer"/>
    <w:basedOn w:val="Normln"/>
    <w:rsid w:val="00F73675"/>
    <w:pPr>
      <w:tabs>
        <w:tab w:val="center" w:pos="4536"/>
        <w:tab w:val="right" w:pos="9072"/>
      </w:tabs>
    </w:pPr>
  </w:style>
  <w:style w:type="character" w:styleId="slostrnky">
    <w:name w:val="page number"/>
    <w:basedOn w:val="Standardnpsmoodstavce"/>
    <w:rsid w:val="00F73675"/>
  </w:style>
  <w:style w:type="paragraph" w:styleId="Zkladntextodsazen">
    <w:name w:val="Body Text Indent"/>
    <w:basedOn w:val="Normln"/>
    <w:rsid w:val="00F73675"/>
    <w:pPr>
      <w:ind w:firstLine="284"/>
    </w:pPr>
    <w:rPr>
      <w:sz w:val="24"/>
    </w:rPr>
  </w:style>
  <w:style w:type="paragraph" w:customStyle="1" w:styleId="Adresa-1">
    <w:name w:val="Adresa-1"/>
    <w:basedOn w:val="Normln"/>
    <w:rsid w:val="00F73675"/>
    <w:pPr>
      <w:tabs>
        <w:tab w:val="left" w:pos="6237"/>
      </w:tabs>
    </w:pPr>
    <w:rPr>
      <w:sz w:val="24"/>
    </w:rPr>
  </w:style>
  <w:style w:type="paragraph" w:styleId="Zkladntextodsazen2">
    <w:name w:val="Body Text Indent 2"/>
    <w:basedOn w:val="Normln"/>
    <w:rsid w:val="00F73675"/>
    <w:pPr>
      <w:ind w:firstLine="284"/>
      <w:jc w:val="both"/>
    </w:pPr>
    <w:rPr>
      <w:sz w:val="24"/>
    </w:rPr>
  </w:style>
  <w:style w:type="paragraph" w:styleId="Zkladntext">
    <w:name w:val="Body Text"/>
    <w:basedOn w:val="Normln"/>
    <w:rsid w:val="00F73675"/>
    <w:pPr>
      <w:jc w:val="both"/>
    </w:pPr>
    <w:rPr>
      <w:sz w:val="24"/>
    </w:rPr>
  </w:style>
  <w:style w:type="paragraph" w:styleId="Zkladntext3">
    <w:name w:val="Body Text 3"/>
    <w:basedOn w:val="Normln"/>
    <w:rsid w:val="00F73675"/>
    <w:pPr>
      <w:jc w:val="both"/>
    </w:pPr>
    <w:rPr>
      <w:color w:val="FF0000"/>
      <w:sz w:val="24"/>
    </w:rPr>
  </w:style>
  <w:style w:type="paragraph" w:styleId="Zkladntextodsazen3">
    <w:name w:val="Body Text Indent 3"/>
    <w:basedOn w:val="Normln"/>
    <w:rsid w:val="00F73675"/>
    <w:pPr>
      <w:ind w:firstLine="708"/>
      <w:jc w:val="both"/>
    </w:pPr>
    <w:rPr>
      <w:sz w:val="24"/>
    </w:rPr>
  </w:style>
  <w:style w:type="character" w:styleId="Hypertextovodkaz">
    <w:name w:val="Hyperlink"/>
    <w:rsid w:val="00F73675"/>
    <w:rPr>
      <w:color w:val="0000FF"/>
      <w:u w:val="single"/>
    </w:rPr>
  </w:style>
  <w:style w:type="paragraph" w:styleId="Textpoznpodarou">
    <w:name w:val="footnote text"/>
    <w:basedOn w:val="Normln"/>
    <w:semiHidden/>
    <w:rsid w:val="00F73675"/>
    <w:rPr>
      <w:spacing w:val="10"/>
    </w:rPr>
  </w:style>
  <w:style w:type="character" w:styleId="Znakapoznpodarou">
    <w:name w:val="footnote reference"/>
    <w:semiHidden/>
    <w:rsid w:val="00F73675"/>
    <w:rPr>
      <w:vertAlign w:val="superscript"/>
    </w:rPr>
  </w:style>
  <w:style w:type="paragraph" w:styleId="Zkladntext2">
    <w:name w:val="Body Text 2"/>
    <w:basedOn w:val="Normln"/>
    <w:rsid w:val="00F73675"/>
    <w:pPr>
      <w:jc w:val="both"/>
    </w:pPr>
    <w:rPr>
      <w:sz w:val="24"/>
    </w:rPr>
  </w:style>
  <w:style w:type="paragraph" w:customStyle="1" w:styleId="HlavStyl">
    <w:name w:val="HlavStyl"/>
    <w:basedOn w:val="Normln"/>
    <w:rsid w:val="00F73675"/>
    <w:pPr>
      <w:spacing w:after="120"/>
      <w:jc w:val="both"/>
    </w:pPr>
  </w:style>
  <w:style w:type="character" w:styleId="slodku">
    <w:name w:val="line number"/>
    <w:basedOn w:val="Standardnpsmoodstavce"/>
    <w:rsid w:val="000076AD"/>
  </w:style>
  <w:style w:type="paragraph" w:styleId="Textbubliny">
    <w:name w:val="Balloon Text"/>
    <w:basedOn w:val="Normln"/>
    <w:semiHidden/>
    <w:rsid w:val="00FF0706"/>
    <w:rPr>
      <w:rFonts w:ascii="Tahoma" w:hAnsi="Tahoma" w:cs="Tahoma"/>
      <w:sz w:val="16"/>
      <w:szCs w:val="16"/>
    </w:rPr>
  </w:style>
  <w:style w:type="paragraph" w:styleId="Rozloendokumentu">
    <w:name w:val="Document Map"/>
    <w:basedOn w:val="Normln"/>
    <w:semiHidden/>
    <w:rsid w:val="008E0D07"/>
    <w:pPr>
      <w:shd w:val="clear" w:color="auto" w:fill="000080"/>
    </w:pPr>
    <w:rPr>
      <w:rFonts w:ascii="Tahoma" w:hAnsi="Tahoma" w:cs="Tahoma"/>
      <w:sz w:val="20"/>
      <w:szCs w:val="20"/>
    </w:rPr>
  </w:style>
  <w:style w:type="character" w:styleId="Odkaznakoment">
    <w:name w:val="annotation reference"/>
    <w:semiHidden/>
    <w:rsid w:val="00EE43EA"/>
    <w:rPr>
      <w:sz w:val="16"/>
      <w:szCs w:val="16"/>
    </w:rPr>
  </w:style>
  <w:style w:type="paragraph" w:styleId="Textkomente">
    <w:name w:val="annotation text"/>
    <w:basedOn w:val="Normln"/>
    <w:semiHidden/>
    <w:rsid w:val="00EE43EA"/>
    <w:rPr>
      <w:sz w:val="20"/>
      <w:szCs w:val="20"/>
    </w:rPr>
  </w:style>
  <w:style w:type="paragraph" w:styleId="Pedmtkomente">
    <w:name w:val="annotation subject"/>
    <w:basedOn w:val="Textkomente"/>
    <w:next w:val="Textkomente"/>
    <w:semiHidden/>
    <w:rsid w:val="00EE43EA"/>
    <w:rPr>
      <w:b/>
      <w:bCs/>
    </w:rPr>
  </w:style>
  <w:style w:type="paragraph" w:customStyle="1" w:styleId="CaracterCaracterCaracterCharCharCharCaracterCaracterCaracterCaracterCaracterChar">
    <w:name w:val="Caracter Caracter Caracter Char Char Char Caracter Caracter Caracter Caracter Caracter Char"/>
    <w:basedOn w:val="Normln"/>
    <w:rsid w:val="00710D83"/>
    <w:pPr>
      <w:spacing w:after="160" w:line="240" w:lineRule="exact"/>
    </w:pPr>
    <w:rPr>
      <w:rFonts w:ascii="Tahoma" w:hAnsi="Tahoma"/>
      <w:sz w:val="20"/>
      <w:szCs w:val="20"/>
      <w:lang w:val="en-US" w:eastAsia="en-US"/>
    </w:rPr>
  </w:style>
  <w:style w:type="character" w:customStyle="1" w:styleId="WW8Num4z1">
    <w:name w:val="WW8Num4z1"/>
    <w:rsid w:val="0074479E"/>
    <w:rPr>
      <w:rFonts w:ascii="Courier New" w:hAnsi="Courier New" w:cs="Courier New"/>
    </w:rPr>
  </w:style>
  <w:style w:type="paragraph" w:customStyle="1" w:styleId="Considrant">
    <w:name w:val="Considérant"/>
    <w:basedOn w:val="Normln"/>
    <w:rsid w:val="005C5882"/>
    <w:pPr>
      <w:numPr>
        <w:numId w:val="35"/>
      </w:numPr>
      <w:spacing w:before="120" w:after="120"/>
      <w:jc w:val="both"/>
    </w:pPr>
    <w:rPr>
      <w:rFonts w:ascii="Times New Roman" w:hAnsi="Times New Roman"/>
      <w:sz w:val="24"/>
      <w:szCs w:val="24"/>
    </w:rPr>
  </w:style>
  <w:style w:type="paragraph" w:styleId="Odstavecseseznamem">
    <w:name w:val="List Paragraph"/>
    <w:basedOn w:val="Normln"/>
    <w:uiPriority w:val="34"/>
    <w:qFormat/>
    <w:rsid w:val="00574A08"/>
    <w:pPr>
      <w:ind w:left="720"/>
      <w:contextualSpacing/>
    </w:pPr>
  </w:style>
  <w:style w:type="character" w:styleId="Sledovanodkaz">
    <w:name w:val="FollowedHyperlink"/>
    <w:basedOn w:val="Standardnpsmoodstavce"/>
    <w:semiHidden/>
    <w:unhideWhenUsed/>
    <w:rsid w:val="009F20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709913">
      <w:bodyDiv w:val="1"/>
      <w:marLeft w:val="0"/>
      <w:marRight w:val="0"/>
      <w:marTop w:val="0"/>
      <w:marBottom w:val="0"/>
      <w:divBdr>
        <w:top w:val="none" w:sz="0" w:space="0" w:color="auto"/>
        <w:left w:val="none" w:sz="0" w:space="0" w:color="auto"/>
        <w:bottom w:val="none" w:sz="0" w:space="0" w:color="auto"/>
        <w:right w:val="none" w:sz="0" w:space="0" w:color="auto"/>
      </w:divBdr>
    </w:div>
    <w:div w:id="1181773446">
      <w:bodyDiv w:val="1"/>
      <w:marLeft w:val="0"/>
      <w:marRight w:val="0"/>
      <w:marTop w:val="0"/>
      <w:marBottom w:val="0"/>
      <w:divBdr>
        <w:top w:val="none" w:sz="0" w:space="0" w:color="auto"/>
        <w:left w:val="none" w:sz="0" w:space="0" w:color="auto"/>
        <w:bottom w:val="none" w:sz="0" w:space="0" w:color="auto"/>
        <w:right w:val="none" w:sz="0" w:space="0" w:color="auto"/>
      </w:divBdr>
    </w:div>
    <w:div w:id="1354725266">
      <w:bodyDiv w:val="1"/>
      <w:marLeft w:val="0"/>
      <w:marRight w:val="0"/>
      <w:marTop w:val="0"/>
      <w:marBottom w:val="0"/>
      <w:divBdr>
        <w:top w:val="none" w:sz="0" w:space="0" w:color="auto"/>
        <w:left w:val="none" w:sz="0" w:space="0" w:color="auto"/>
        <w:bottom w:val="none" w:sz="0" w:space="0" w:color="auto"/>
        <w:right w:val="none" w:sz="0" w:space="0" w:color="auto"/>
      </w:divBdr>
    </w:div>
    <w:div w:id="1374505551">
      <w:bodyDiv w:val="1"/>
      <w:marLeft w:val="0"/>
      <w:marRight w:val="0"/>
      <w:marTop w:val="0"/>
      <w:marBottom w:val="0"/>
      <w:divBdr>
        <w:top w:val="none" w:sz="0" w:space="0" w:color="auto"/>
        <w:left w:val="none" w:sz="0" w:space="0" w:color="auto"/>
        <w:bottom w:val="none" w:sz="0" w:space="0" w:color="auto"/>
        <w:right w:val="none" w:sz="0" w:space="0" w:color="auto"/>
      </w:divBdr>
      <w:divsChild>
        <w:div w:id="267397355">
          <w:marLeft w:val="0"/>
          <w:marRight w:val="0"/>
          <w:marTop w:val="0"/>
          <w:marBottom w:val="0"/>
          <w:divBdr>
            <w:top w:val="none" w:sz="0" w:space="0" w:color="auto"/>
            <w:left w:val="none" w:sz="0" w:space="0" w:color="auto"/>
            <w:bottom w:val="none" w:sz="0" w:space="0" w:color="auto"/>
            <w:right w:val="none" w:sz="0" w:space="0" w:color="auto"/>
          </w:divBdr>
        </w:div>
        <w:div w:id="337077282">
          <w:marLeft w:val="0"/>
          <w:marRight w:val="0"/>
          <w:marTop w:val="0"/>
          <w:marBottom w:val="0"/>
          <w:divBdr>
            <w:top w:val="none" w:sz="0" w:space="0" w:color="auto"/>
            <w:left w:val="none" w:sz="0" w:space="0" w:color="auto"/>
            <w:bottom w:val="none" w:sz="0" w:space="0" w:color="auto"/>
            <w:right w:val="none" w:sz="0" w:space="0" w:color="auto"/>
          </w:divBdr>
        </w:div>
        <w:div w:id="337732602">
          <w:marLeft w:val="0"/>
          <w:marRight w:val="0"/>
          <w:marTop w:val="0"/>
          <w:marBottom w:val="0"/>
          <w:divBdr>
            <w:top w:val="none" w:sz="0" w:space="0" w:color="auto"/>
            <w:left w:val="none" w:sz="0" w:space="0" w:color="auto"/>
            <w:bottom w:val="none" w:sz="0" w:space="0" w:color="auto"/>
            <w:right w:val="none" w:sz="0" w:space="0" w:color="auto"/>
          </w:divBdr>
        </w:div>
        <w:div w:id="343899254">
          <w:marLeft w:val="0"/>
          <w:marRight w:val="0"/>
          <w:marTop w:val="0"/>
          <w:marBottom w:val="0"/>
          <w:divBdr>
            <w:top w:val="none" w:sz="0" w:space="0" w:color="auto"/>
            <w:left w:val="none" w:sz="0" w:space="0" w:color="auto"/>
            <w:bottom w:val="none" w:sz="0" w:space="0" w:color="auto"/>
            <w:right w:val="none" w:sz="0" w:space="0" w:color="auto"/>
          </w:divBdr>
        </w:div>
        <w:div w:id="450054803">
          <w:marLeft w:val="0"/>
          <w:marRight w:val="0"/>
          <w:marTop w:val="0"/>
          <w:marBottom w:val="0"/>
          <w:divBdr>
            <w:top w:val="none" w:sz="0" w:space="0" w:color="auto"/>
            <w:left w:val="none" w:sz="0" w:space="0" w:color="auto"/>
            <w:bottom w:val="none" w:sz="0" w:space="0" w:color="auto"/>
            <w:right w:val="none" w:sz="0" w:space="0" w:color="auto"/>
          </w:divBdr>
        </w:div>
        <w:div w:id="462574989">
          <w:marLeft w:val="0"/>
          <w:marRight w:val="0"/>
          <w:marTop w:val="0"/>
          <w:marBottom w:val="0"/>
          <w:divBdr>
            <w:top w:val="none" w:sz="0" w:space="0" w:color="auto"/>
            <w:left w:val="none" w:sz="0" w:space="0" w:color="auto"/>
            <w:bottom w:val="none" w:sz="0" w:space="0" w:color="auto"/>
            <w:right w:val="none" w:sz="0" w:space="0" w:color="auto"/>
          </w:divBdr>
        </w:div>
        <w:div w:id="655885165">
          <w:marLeft w:val="0"/>
          <w:marRight w:val="0"/>
          <w:marTop w:val="0"/>
          <w:marBottom w:val="0"/>
          <w:divBdr>
            <w:top w:val="none" w:sz="0" w:space="0" w:color="auto"/>
            <w:left w:val="none" w:sz="0" w:space="0" w:color="auto"/>
            <w:bottom w:val="none" w:sz="0" w:space="0" w:color="auto"/>
            <w:right w:val="none" w:sz="0" w:space="0" w:color="auto"/>
          </w:divBdr>
        </w:div>
        <w:div w:id="662510175">
          <w:marLeft w:val="0"/>
          <w:marRight w:val="0"/>
          <w:marTop w:val="0"/>
          <w:marBottom w:val="0"/>
          <w:divBdr>
            <w:top w:val="none" w:sz="0" w:space="0" w:color="auto"/>
            <w:left w:val="none" w:sz="0" w:space="0" w:color="auto"/>
            <w:bottom w:val="none" w:sz="0" w:space="0" w:color="auto"/>
            <w:right w:val="none" w:sz="0" w:space="0" w:color="auto"/>
          </w:divBdr>
        </w:div>
        <w:div w:id="715736877">
          <w:marLeft w:val="0"/>
          <w:marRight w:val="0"/>
          <w:marTop w:val="0"/>
          <w:marBottom w:val="0"/>
          <w:divBdr>
            <w:top w:val="none" w:sz="0" w:space="0" w:color="auto"/>
            <w:left w:val="none" w:sz="0" w:space="0" w:color="auto"/>
            <w:bottom w:val="none" w:sz="0" w:space="0" w:color="auto"/>
            <w:right w:val="none" w:sz="0" w:space="0" w:color="auto"/>
          </w:divBdr>
        </w:div>
        <w:div w:id="733698933">
          <w:marLeft w:val="0"/>
          <w:marRight w:val="0"/>
          <w:marTop w:val="0"/>
          <w:marBottom w:val="0"/>
          <w:divBdr>
            <w:top w:val="none" w:sz="0" w:space="0" w:color="auto"/>
            <w:left w:val="none" w:sz="0" w:space="0" w:color="auto"/>
            <w:bottom w:val="none" w:sz="0" w:space="0" w:color="auto"/>
            <w:right w:val="none" w:sz="0" w:space="0" w:color="auto"/>
          </w:divBdr>
        </w:div>
        <w:div w:id="802624450">
          <w:marLeft w:val="0"/>
          <w:marRight w:val="0"/>
          <w:marTop w:val="0"/>
          <w:marBottom w:val="0"/>
          <w:divBdr>
            <w:top w:val="none" w:sz="0" w:space="0" w:color="auto"/>
            <w:left w:val="none" w:sz="0" w:space="0" w:color="auto"/>
            <w:bottom w:val="none" w:sz="0" w:space="0" w:color="auto"/>
            <w:right w:val="none" w:sz="0" w:space="0" w:color="auto"/>
          </w:divBdr>
        </w:div>
        <w:div w:id="811364329">
          <w:marLeft w:val="0"/>
          <w:marRight w:val="0"/>
          <w:marTop w:val="0"/>
          <w:marBottom w:val="0"/>
          <w:divBdr>
            <w:top w:val="none" w:sz="0" w:space="0" w:color="auto"/>
            <w:left w:val="none" w:sz="0" w:space="0" w:color="auto"/>
            <w:bottom w:val="none" w:sz="0" w:space="0" w:color="auto"/>
            <w:right w:val="none" w:sz="0" w:space="0" w:color="auto"/>
          </w:divBdr>
        </w:div>
        <w:div w:id="878933659">
          <w:marLeft w:val="0"/>
          <w:marRight w:val="0"/>
          <w:marTop w:val="0"/>
          <w:marBottom w:val="0"/>
          <w:divBdr>
            <w:top w:val="none" w:sz="0" w:space="0" w:color="auto"/>
            <w:left w:val="none" w:sz="0" w:space="0" w:color="auto"/>
            <w:bottom w:val="none" w:sz="0" w:space="0" w:color="auto"/>
            <w:right w:val="none" w:sz="0" w:space="0" w:color="auto"/>
          </w:divBdr>
        </w:div>
        <w:div w:id="1046757403">
          <w:marLeft w:val="0"/>
          <w:marRight w:val="0"/>
          <w:marTop w:val="0"/>
          <w:marBottom w:val="0"/>
          <w:divBdr>
            <w:top w:val="none" w:sz="0" w:space="0" w:color="auto"/>
            <w:left w:val="none" w:sz="0" w:space="0" w:color="auto"/>
            <w:bottom w:val="none" w:sz="0" w:space="0" w:color="auto"/>
            <w:right w:val="none" w:sz="0" w:space="0" w:color="auto"/>
          </w:divBdr>
        </w:div>
        <w:div w:id="1172599530">
          <w:marLeft w:val="0"/>
          <w:marRight w:val="0"/>
          <w:marTop w:val="0"/>
          <w:marBottom w:val="0"/>
          <w:divBdr>
            <w:top w:val="none" w:sz="0" w:space="0" w:color="auto"/>
            <w:left w:val="none" w:sz="0" w:space="0" w:color="auto"/>
            <w:bottom w:val="none" w:sz="0" w:space="0" w:color="auto"/>
            <w:right w:val="none" w:sz="0" w:space="0" w:color="auto"/>
          </w:divBdr>
        </w:div>
        <w:div w:id="1173451353">
          <w:marLeft w:val="0"/>
          <w:marRight w:val="0"/>
          <w:marTop w:val="0"/>
          <w:marBottom w:val="0"/>
          <w:divBdr>
            <w:top w:val="none" w:sz="0" w:space="0" w:color="auto"/>
            <w:left w:val="none" w:sz="0" w:space="0" w:color="auto"/>
            <w:bottom w:val="none" w:sz="0" w:space="0" w:color="auto"/>
            <w:right w:val="none" w:sz="0" w:space="0" w:color="auto"/>
          </w:divBdr>
        </w:div>
        <w:div w:id="1243684651">
          <w:marLeft w:val="0"/>
          <w:marRight w:val="0"/>
          <w:marTop w:val="0"/>
          <w:marBottom w:val="0"/>
          <w:divBdr>
            <w:top w:val="none" w:sz="0" w:space="0" w:color="auto"/>
            <w:left w:val="none" w:sz="0" w:space="0" w:color="auto"/>
            <w:bottom w:val="none" w:sz="0" w:space="0" w:color="auto"/>
            <w:right w:val="none" w:sz="0" w:space="0" w:color="auto"/>
          </w:divBdr>
        </w:div>
        <w:div w:id="1506633209">
          <w:marLeft w:val="0"/>
          <w:marRight w:val="0"/>
          <w:marTop w:val="0"/>
          <w:marBottom w:val="0"/>
          <w:divBdr>
            <w:top w:val="none" w:sz="0" w:space="0" w:color="auto"/>
            <w:left w:val="none" w:sz="0" w:space="0" w:color="auto"/>
            <w:bottom w:val="none" w:sz="0" w:space="0" w:color="auto"/>
            <w:right w:val="none" w:sz="0" w:space="0" w:color="auto"/>
          </w:divBdr>
        </w:div>
        <w:div w:id="1537888813">
          <w:marLeft w:val="0"/>
          <w:marRight w:val="0"/>
          <w:marTop w:val="0"/>
          <w:marBottom w:val="0"/>
          <w:divBdr>
            <w:top w:val="none" w:sz="0" w:space="0" w:color="auto"/>
            <w:left w:val="none" w:sz="0" w:space="0" w:color="auto"/>
            <w:bottom w:val="none" w:sz="0" w:space="0" w:color="auto"/>
            <w:right w:val="none" w:sz="0" w:space="0" w:color="auto"/>
          </w:divBdr>
        </w:div>
        <w:div w:id="1569343030">
          <w:marLeft w:val="0"/>
          <w:marRight w:val="0"/>
          <w:marTop w:val="0"/>
          <w:marBottom w:val="0"/>
          <w:divBdr>
            <w:top w:val="none" w:sz="0" w:space="0" w:color="auto"/>
            <w:left w:val="none" w:sz="0" w:space="0" w:color="auto"/>
            <w:bottom w:val="none" w:sz="0" w:space="0" w:color="auto"/>
            <w:right w:val="none" w:sz="0" w:space="0" w:color="auto"/>
          </w:divBdr>
        </w:div>
        <w:div w:id="1746030663">
          <w:marLeft w:val="0"/>
          <w:marRight w:val="0"/>
          <w:marTop w:val="0"/>
          <w:marBottom w:val="0"/>
          <w:divBdr>
            <w:top w:val="none" w:sz="0" w:space="0" w:color="auto"/>
            <w:left w:val="none" w:sz="0" w:space="0" w:color="auto"/>
            <w:bottom w:val="none" w:sz="0" w:space="0" w:color="auto"/>
            <w:right w:val="none" w:sz="0" w:space="0" w:color="auto"/>
          </w:divBdr>
        </w:div>
        <w:div w:id="1761832662">
          <w:marLeft w:val="0"/>
          <w:marRight w:val="0"/>
          <w:marTop w:val="0"/>
          <w:marBottom w:val="0"/>
          <w:divBdr>
            <w:top w:val="none" w:sz="0" w:space="0" w:color="auto"/>
            <w:left w:val="none" w:sz="0" w:space="0" w:color="auto"/>
            <w:bottom w:val="none" w:sz="0" w:space="0" w:color="auto"/>
            <w:right w:val="none" w:sz="0" w:space="0" w:color="auto"/>
          </w:divBdr>
        </w:div>
        <w:div w:id="1819762131">
          <w:marLeft w:val="0"/>
          <w:marRight w:val="0"/>
          <w:marTop w:val="0"/>
          <w:marBottom w:val="0"/>
          <w:divBdr>
            <w:top w:val="none" w:sz="0" w:space="0" w:color="auto"/>
            <w:left w:val="none" w:sz="0" w:space="0" w:color="auto"/>
            <w:bottom w:val="none" w:sz="0" w:space="0" w:color="auto"/>
            <w:right w:val="none" w:sz="0" w:space="0" w:color="auto"/>
          </w:divBdr>
        </w:div>
        <w:div w:id="1913081548">
          <w:marLeft w:val="0"/>
          <w:marRight w:val="0"/>
          <w:marTop w:val="0"/>
          <w:marBottom w:val="0"/>
          <w:divBdr>
            <w:top w:val="none" w:sz="0" w:space="0" w:color="auto"/>
            <w:left w:val="none" w:sz="0" w:space="0" w:color="auto"/>
            <w:bottom w:val="none" w:sz="0" w:space="0" w:color="auto"/>
            <w:right w:val="none" w:sz="0" w:space="0" w:color="auto"/>
          </w:divBdr>
        </w:div>
        <w:div w:id="1954828036">
          <w:marLeft w:val="0"/>
          <w:marRight w:val="0"/>
          <w:marTop w:val="0"/>
          <w:marBottom w:val="0"/>
          <w:divBdr>
            <w:top w:val="none" w:sz="0" w:space="0" w:color="auto"/>
            <w:left w:val="none" w:sz="0" w:space="0" w:color="auto"/>
            <w:bottom w:val="none" w:sz="0" w:space="0" w:color="auto"/>
            <w:right w:val="none" w:sz="0" w:space="0" w:color="auto"/>
          </w:divBdr>
        </w:div>
        <w:div w:id="2032758351">
          <w:marLeft w:val="0"/>
          <w:marRight w:val="0"/>
          <w:marTop w:val="0"/>
          <w:marBottom w:val="0"/>
          <w:divBdr>
            <w:top w:val="none" w:sz="0" w:space="0" w:color="auto"/>
            <w:left w:val="none" w:sz="0" w:space="0" w:color="auto"/>
            <w:bottom w:val="none" w:sz="0" w:space="0" w:color="auto"/>
            <w:right w:val="none" w:sz="0" w:space="0" w:color="auto"/>
          </w:divBdr>
        </w:div>
        <w:div w:id="2085905619">
          <w:marLeft w:val="0"/>
          <w:marRight w:val="0"/>
          <w:marTop w:val="0"/>
          <w:marBottom w:val="0"/>
          <w:divBdr>
            <w:top w:val="none" w:sz="0" w:space="0" w:color="auto"/>
            <w:left w:val="none" w:sz="0" w:space="0" w:color="auto"/>
            <w:bottom w:val="none" w:sz="0" w:space="0" w:color="auto"/>
            <w:right w:val="none" w:sz="0" w:space="0" w:color="auto"/>
          </w:divBdr>
        </w:div>
        <w:div w:id="2109034618">
          <w:marLeft w:val="0"/>
          <w:marRight w:val="0"/>
          <w:marTop w:val="0"/>
          <w:marBottom w:val="0"/>
          <w:divBdr>
            <w:top w:val="none" w:sz="0" w:space="0" w:color="auto"/>
            <w:left w:val="none" w:sz="0" w:space="0" w:color="auto"/>
            <w:bottom w:val="none" w:sz="0" w:space="0" w:color="auto"/>
            <w:right w:val="none" w:sz="0" w:space="0" w:color="auto"/>
          </w:divBdr>
        </w:div>
        <w:div w:id="2131165750">
          <w:marLeft w:val="0"/>
          <w:marRight w:val="0"/>
          <w:marTop w:val="0"/>
          <w:marBottom w:val="0"/>
          <w:divBdr>
            <w:top w:val="none" w:sz="0" w:space="0" w:color="auto"/>
            <w:left w:val="none" w:sz="0" w:space="0" w:color="auto"/>
            <w:bottom w:val="none" w:sz="0" w:space="0" w:color="auto"/>
            <w:right w:val="none" w:sz="0" w:space="0" w:color="auto"/>
          </w:divBdr>
        </w:div>
      </w:divsChild>
    </w:div>
    <w:div w:id="1816219220">
      <w:bodyDiv w:val="1"/>
      <w:marLeft w:val="0"/>
      <w:marRight w:val="0"/>
      <w:marTop w:val="0"/>
      <w:marBottom w:val="0"/>
      <w:divBdr>
        <w:top w:val="none" w:sz="0" w:space="0" w:color="auto"/>
        <w:left w:val="none" w:sz="0" w:space="0" w:color="auto"/>
        <w:bottom w:val="none" w:sz="0" w:space="0" w:color="auto"/>
        <w:right w:val="none" w:sz="0" w:space="0" w:color="auto"/>
      </w:divBdr>
      <w:divsChild>
        <w:div w:id="1191794727">
          <w:marLeft w:val="0"/>
          <w:marRight w:val="0"/>
          <w:marTop w:val="0"/>
          <w:marBottom w:val="0"/>
          <w:divBdr>
            <w:top w:val="none" w:sz="0" w:space="0" w:color="auto"/>
            <w:left w:val="none" w:sz="0" w:space="0" w:color="auto"/>
            <w:bottom w:val="none" w:sz="0" w:space="0" w:color="auto"/>
            <w:right w:val="none" w:sz="0" w:space="0" w:color="auto"/>
          </w:divBdr>
        </w:div>
        <w:div w:id="1960448423">
          <w:marLeft w:val="0"/>
          <w:marRight w:val="0"/>
          <w:marTop w:val="0"/>
          <w:marBottom w:val="0"/>
          <w:divBdr>
            <w:top w:val="none" w:sz="0" w:space="0" w:color="auto"/>
            <w:left w:val="none" w:sz="0" w:space="0" w:color="auto"/>
            <w:bottom w:val="none" w:sz="0" w:space="0" w:color="auto"/>
            <w:right w:val="none" w:sz="0" w:space="0" w:color="auto"/>
          </w:divBdr>
        </w:div>
        <w:div w:id="780418626">
          <w:marLeft w:val="0"/>
          <w:marRight w:val="0"/>
          <w:marTop w:val="0"/>
          <w:marBottom w:val="0"/>
          <w:divBdr>
            <w:top w:val="none" w:sz="0" w:space="0" w:color="auto"/>
            <w:left w:val="none" w:sz="0" w:space="0" w:color="auto"/>
            <w:bottom w:val="none" w:sz="0" w:space="0" w:color="auto"/>
            <w:right w:val="none" w:sz="0" w:space="0" w:color="auto"/>
          </w:divBdr>
        </w:div>
        <w:div w:id="272396090">
          <w:marLeft w:val="0"/>
          <w:marRight w:val="0"/>
          <w:marTop w:val="0"/>
          <w:marBottom w:val="0"/>
          <w:divBdr>
            <w:top w:val="none" w:sz="0" w:space="0" w:color="auto"/>
            <w:left w:val="none" w:sz="0" w:space="0" w:color="auto"/>
            <w:bottom w:val="none" w:sz="0" w:space="0" w:color="auto"/>
            <w:right w:val="none" w:sz="0" w:space="0" w:color="auto"/>
          </w:divBdr>
        </w:div>
        <w:div w:id="808669910">
          <w:marLeft w:val="0"/>
          <w:marRight w:val="0"/>
          <w:marTop w:val="0"/>
          <w:marBottom w:val="0"/>
          <w:divBdr>
            <w:top w:val="none" w:sz="0" w:space="0" w:color="auto"/>
            <w:left w:val="none" w:sz="0" w:space="0" w:color="auto"/>
            <w:bottom w:val="none" w:sz="0" w:space="0" w:color="auto"/>
            <w:right w:val="none" w:sz="0" w:space="0" w:color="auto"/>
          </w:divBdr>
        </w:div>
      </w:divsChild>
    </w:div>
    <w:div w:id="1857186392">
      <w:bodyDiv w:val="1"/>
      <w:marLeft w:val="0"/>
      <w:marRight w:val="0"/>
      <w:marTop w:val="0"/>
      <w:marBottom w:val="0"/>
      <w:divBdr>
        <w:top w:val="none" w:sz="0" w:space="0" w:color="auto"/>
        <w:left w:val="none" w:sz="0" w:space="0" w:color="auto"/>
        <w:bottom w:val="none" w:sz="0" w:space="0" w:color="auto"/>
        <w:right w:val="none" w:sz="0" w:space="0" w:color="auto"/>
      </w:divBdr>
      <w:divsChild>
        <w:div w:id="7106450">
          <w:marLeft w:val="0"/>
          <w:marRight w:val="0"/>
          <w:marTop w:val="0"/>
          <w:marBottom w:val="0"/>
          <w:divBdr>
            <w:top w:val="none" w:sz="0" w:space="0" w:color="auto"/>
            <w:left w:val="none" w:sz="0" w:space="0" w:color="auto"/>
            <w:bottom w:val="none" w:sz="0" w:space="0" w:color="auto"/>
            <w:right w:val="none" w:sz="0" w:space="0" w:color="auto"/>
          </w:divBdr>
        </w:div>
        <w:div w:id="244606774">
          <w:marLeft w:val="0"/>
          <w:marRight w:val="0"/>
          <w:marTop w:val="0"/>
          <w:marBottom w:val="0"/>
          <w:divBdr>
            <w:top w:val="none" w:sz="0" w:space="0" w:color="auto"/>
            <w:left w:val="none" w:sz="0" w:space="0" w:color="auto"/>
            <w:bottom w:val="none" w:sz="0" w:space="0" w:color="auto"/>
            <w:right w:val="none" w:sz="0" w:space="0" w:color="auto"/>
          </w:divBdr>
        </w:div>
        <w:div w:id="278951553">
          <w:marLeft w:val="0"/>
          <w:marRight w:val="0"/>
          <w:marTop w:val="0"/>
          <w:marBottom w:val="0"/>
          <w:divBdr>
            <w:top w:val="none" w:sz="0" w:space="0" w:color="auto"/>
            <w:left w:val="none" w:sz="0" w:space="0" w:color="auto"/>
            <w:bottom w:val="none" w:sz="0" w:space="0" w:color="auto"/>
            <w:right w:val="none" w:sz="0" w:space="0" w:color="auto"/>
          </w:divBdr>
        </w:div>
        <w:div w:id="317416946">
          <w:marLeft w:val="0"/>
          <w:marRight w:val="0"/>
          <w:marTop w:val="0"/>
          <w:marBottom w:val="0"/>
          <w:divBdr>
            <w:top w:val="none" w:sz="0" w:space="0" w:color="auto"/>
            <w:left w:val="none" w:sz="0" w:space="0" w:color="auto"/>
            <w:bottom w:val="none" w:sz="0" w:space="0" w:color="auto"/>
            <w:right w:val="none" w:sz="0" w:space="0" w:color="auto"/>
          </w:divBdr>
        </w:div>
        <w:div w:id="452793972">
          <w:marLeft w:val="0"/>
          <w:marRight w:val="0"/>
          <w:marTop w:val="0"/>
          <w:marBottom w:val="0"/>
          <w:divBdr>
            <w:top w:val="none" w:sz="0" w:space="0" w:color="auto"/>
            <w:left w:val="none" w:sz="0" w:space="0" w:color="auto"/>
            <w:bottom w:val="none" w:sz="0" w:space="0" w:color="auto"/>
            <w:right w:val="none" w:sz="0" w:space="0" w:color="auto"/>
          </w:divBdr>
        </w:div>
        <w:div w:id="497113045">
          <w:marLeft w:val="0"/>
          <w:marRight w:val="0"/>
          <w:marTop w:val="0"/>
          <w:marBottom w:val="0"/>
          <w:divBdr>
            <w:top w:val="none" w:sz="0" w:space="0" w:color="auto"/>
            <w:left w:val="none" w:sz="0" w:space="0" w:color="auto"/>
            <w:bottom w:val="none" w:sz="0" w:space="0" w:color="auto"/>
            <w:right w:val="none" w:sz="0" w:space="0" w:color="auto"/>
          </w:divBdr>
        </w:div>
        <w:div w:id="516819414">
          <w:marLeft w:val="0"/>
          <w:marRight w:val="0"/>
          <w:marTop w:val="0"/>
          <w:marBottom w:val="0"/>
          <w:divBdr>
            <w:top w:val="none" w:sz="0" w:space="0" w:color="auto"/>
            <w:left w:val="none" w:sz="0" w:space="0" w:color="auto"/>
            <w:bottom w:val="none" w:sz="0" w:space="0" w:color="auto"/>
            <w:right w:val="none" w:sz="0" w:space="0" w:color="auto"/>
          </w:divBdr>
        </w:div>
        <w:div w:id="615018570">
          <w:marLeft w:val="0"/>
          <w:marRight w:val="0"/>
          <w:marTop w:val="0"/>
          <w:marBottom w:val="0"/>
          <w:divBdr>
            <w:top w:val="none" w:sz="0" w:space="0" w:color="auto"/>
            <w:left w:val="none" w:sz="0" w:space="0" w:color="auto"/>
            <w:bottom w:val="none" w:sz="0" w:space="0" w:color="auto"/>
            <w:right w:val="none" w:sz="0" w:space="0" w:color="auto"/>
          </w:divBdr>
        </w:div>
        <w:div w:id="639116423">
          <w:marLeft w:val="0"/>
          <w:marRight w:val="0"/>
          <w:marTop w:val="0"/>
          <w:marBottom w:val="0"/>
          <w:divBdr>
            <w:top w:val="none" w:sz="0" w:space="0" w:color="auto"/>
            <w:left w:val="none" w:sz="0" w:space="0" w:color="auto"/>
            <w:bottom w:val="none" w:sz="0" w:space="0" w:color="auto"/>
            <w:right w:val="none" w:sz="0" w:space="0" w:color="auto"/>
          </w:divBdr>
        </w:div>
        <w:div w:id="671568278">
          <w:marLeft w:val="0"/>
          <w:marRight w:val="0"/>
          <w:marTop w:val="0"/>
          <w:marBottom w:val="0"/>
          <w:divBdr>
            <w:top w:val="none" w:sz="0" w:space="0" w:color="auto"/>
            <w:left w:val="none" w:sz="0" w:space="0" w:color="auto"/>
            <w:bottom w:val="none" w:sz="0" w:space="0" w:color="auto"/>
            <w:right w:val="none" w:sz="0" w:space="0" w:color="auto"/>
          </w:divBdr>
        </w:div>
        <w:div w:id="701632860">
          <w:marLeft w:val="0"/>
          <w:marRight w:val="0"/>
          <w:marTop w:val="0"/>
          <w:marBottom w:val="0"/>
          <w:divBdr>
            <w:top w:val="none" w:sz="0" w:space="0" w:color="auto"/>
            <w:left w:val="none" w:sz="0" w:space="0" w:color="auto"/>
            <w:bottom w:val="none" w:sz="0" w:space="0" w:color="auto"/>
            <w:right w:val="none" w:sz="0" w:space="0" w:color="auto"/>
          </w:divBdr>
        </w:div>
        <w:div w:id="758675425">
          <w:marLeft w:val="0"/>
          <w:marRight w:val="0"/>
          <w:marTop w:val="0"/>
          <w:marBottom w:val="0"/>
          <w:divBdr>
            <w:top w:val="none" w:sz="0" w:space="0" w:color="auto"/>
            <w:left w:val="none" w:sz="0" w:space="0" w:color="auto"/>
            <w:bottom w:val="none" w:sz="0" w:space="0" w:color="auto"/>
            <w:right w:val="none" w:sz="0" w:space="0" w:color="auto"/>
          </w:divBdr>
        </w:div>
        <w:div w:id="821120448">
          <w:marLeft w:val="0"/>
          <w:marRight w:val="0"/>
          <w:marTop w:val="0"/>
          <w:marBottom w:val="0"/>
          <w:divBdr>
            <w:top w:val="none" w:sz="0" w:space="0" w:color="auto"/>
            <w:left w:val="none" w:sz="0" w:space="0" w:color="auto"/>
            <w:bottom w:val="none" w:sz="0" w:space="0" w:color="auto"/>
            <w:right w:val="none" w:sz="0" w:space="0" w:color="auto"/>
          </w:divBdr>
        </w:div>
        <w:div w:id="1021052416">
          <w:marLeft w:val="0"/>
          <w:marRight w:val="0"/>
          <w:marTop w:val="0"/>
          <w:marBottom w:val="0"/>
          <w:divBdr>
            <w:top w:val="none" w:sz="0" w:space="0" w:color="auto"/>
            <w:left w:val="none" w:sz="0" w:space="0" w:color="auto"/>
            <w:bottom w:val="none" w:sz="0" w:space="0" w:color="auto"/>
            <w:right w:val="none" w:sz="0" w:space="0" w:color="auto"/>
          </w:divBdr>
        </w:div>
        <w:div w:id="1267426628">
          <w:marLeft w:val="0"/>
          <w:marRight w:val="0"/>
          <w:marTop w:val="0"/>
          <w:marBottom w:val="0"/>
          <w:divBdr>
            <w:top w:val="none" w:sz="0" w:space="0" w:color="auto"/>
            <w:left w:val="none" w:sz="0" w:space="0" w:color="auto"/>
            <w:bottom w:val="none" w:sz="0" w:space="0" w:color="auto"/>
            <w:right w:val="none" w:sz="0" w:space="0" w:color="auto"/>
          </w:divBdr>
        </w:div>
        <w:div w:id="1288967390">
          <w:marLeft w:val="0"/>
          <w:marRight w:val="0"/>
          <w:marTop w:val="0"/>
          <w:marBottom w:val="0"/>
          <w:divBdr>
            <w:top w:val="none" w:sz="0" w:space="0" w:color="auto"/>
            <w:left w:val="none" w:sz="0" w:space="0" w:color="auto"/>
            <w:bottom w:val="none" w:sz="0" w:space="0" w:color="auto"/>
            <w:right w:val="none" w:sz="0" w:space="0" w:color="auto"/>
          </w:divBdr>
        </w:div>
        <w:div w:id="1380744380">
          <w:marLeft w:val="0"/>
          <w:marRight w:val="0"/>
          <w:marTop w:val="0"/>
          <w:marBottom w:val="0"/>
          <w:divBdr>
            <w:top w:val="none" w:sz="0" w:space="0" w:color="auto"/>
            <w:left w:val="none" w:sz="0" w:space="0" w:color="auto"/>
            <w:bottom w:val="none" w:sz="0" w:space="0" w:color="auto"/>
            <w:right w:val="none" w:sz="0" w:space="0" w:color="auto"/>
          </w:divBdr>
        </w:div>
        <w:div w:id="1423916529">
          <w:marLeft w:val="0"/>
          <w:marRight w:val="0"/>
          <w:marTop w:val="0"/>
          <w:marBottom w:val="0"/>
          <w:divBdr>
            <w:top w:val="none" w:sz="0" w:space="0" w:color="auto"/>
            <w:left w:val="none" w:sz="0" w:space="0" w:color="auto"/>
            <w:bottom w:val="none" w:sz="0" w:space="0" w:color="auto"/>
            <w:right w:val="none" w:sz="0" w:space="0" w:color="auto"/>
          </w:divBdr>
        </w:div>
        <w:div w:id="1454472589">
          <w:marLeft w:val="0"/>
          <w:marRight w:val="0"/>
          <w:marTop w:val="0"/>
          <w:marBottom w:val="0"/>
          <w:divBdr>
            <w:top w:val="none" w:sz="0" w:space="0" w:color="auto"/>
            <w:left w:val="none" w:sz="0" w:space="0" w:color="auto"/>
            <w:bottom w:val="none" w:sz="0" w:space="0" w:color="auto"/>
            <w:right w:val="none" w:sz="0" w:space="0" w:color="auto"/>
          </w:divBdr>
        </w:div>
        <w:div w:id="1484656872">
          <w:marLeft w:val="0"/>
          <w:marRight w:val="0"/>
          <w:marTop w:val="0"/>
          <w:marBottom w:val="0"/>
          <w:divBdr>
            <w:top w:val="none" w:sz="0" w:space="0" w:color="auto"/>
            <w:left w:val="none" w:sz="0" w:space="0" w:color="auto"/>
            <w:bottom w:val="none" w:sz="0" w:space="0" w:color="auto"/>
            <w:right w:val="none" w:sz="0" w:space="0" w:color="auto"/>
          </w:divBdr>
        </w:div>
        <w:div w:id="1620068825">
          <w:marLeft w:val="0"/>
          <w:marRight w:val="0"/>
          <w:marTop w:val="0"/>
          <w:marBottom w:val="0"/>
          <w:divBdr>
            <w:top w:val="none" w:sz="0" w:space="0" w:color="auto"/>
            <w:left w:val="none" w:sz="0" w:space="0" w:color="auto"/>
            <w:bottom w:val="none" w:sz="0" w:space="0" w:color="auto"/>
            <w:right w:val="none" w:sz="0" w:space="0" w:color="auto"/>
          </w:divBdr>
        </w:div>
        <w:div w:id="1904608057">
          <w:marLeft w:val="0"/>
          <w:marRight w:val="0"/>
          <w:marTop w:val="0"/>
          <w:marBottom w:val="0"/>
          <w:divBdr>
            <w:top w:val="none" w:sz="0" w:space="0" w:color="auto"/>
            <w:left w:val="none" w:sz="0" w:space="0" w:color="auto"/>
            <w:bottom w:val="none" w:sz="0" w:space="0" w:color="auto"/>
            <w:right w:val="none" w:sz="0" w:space="0" w:color="auto"/>
          </w:divBdr>
        </w:div>
        <w:div w:id="1918637273">
          <w:marLeft w:val="0"/>
          <w:marRight w:val="0"/>
          <w:marTop w:val="0"/>
          <w:marBottom w:val="0"/>
          <w:divBdr>
            <w:top w:val="none" w:sz="0" w:space="0" w:color="auto"/>
            <w:left w:val="none" w:sz="0" w:space="0" w:color="auto"/>
            <w:bottom w:val="none" w:sz="0" w:space="0" w:color="auto"/>
            <w:right w:val="none" w:sz="0" w:space="0" w:color="auto"/>
          </w:divBdr>
        </w:div>
        <w:div w:id="1984191753">
          <w:marLeft w:val="0"/>
          <w:marRight w:val="0"/>
          <w:marTop w:val="0"/>
          <w:marBottom w:val="0"/>
          <w:divBdr>
            <w:top w:val="none" w:sz="0" w:space="0" w:color="auto"/>
            <w:left w:val="none" w:sz="0" w:space="0" w:color="auto"/>
            <w:bottom w:val="none" w:sz="0" w:space="0" w:color="auto"/>
            <w:right w:val="none" w:sz="0" w:space="0" w:color="auto"/>
          </w:divBdr>
        </w:div>
        <w:div w:id="2018842011">
          <w:marLeft w:val="0"/>
          <w:marRight w:val="0"/>
          <w:marTop w:val="0"/>
          <w:marBottom w:val="0"/>
          <w:divBdr>
            <w:top w:val="none" w:sz="0" w:space="0" w:color="auto"/>
            <w:left w:val="none" w:sz="0" w:space="0" w:color="auto"/>
            <w:bottom w:val="none" w:sz="0" w:space="0" w:color="auto"/>
            <w:right w:val="none" w:sz="0" w:space="0" w:color="auto"/>
          </w:divBdr>
        </w:div>
      </w:divsChild>
    </w:div>
    <w:div w:id="208151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tu.cz/cs/download/oop/oop_04/vosp_02-2013.z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tu.cz/cs/download/oop/oop_04/kolokace_30_03_2007.xls"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D3197-D219-4E76-A415-7A51F62D0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164C7DAD</Template>
  <TotalTime>0</TotalTime>
  <Pages>11</Pages>
  <Words>4124</Words>
  <Characters>24852</Characters>
  <Application>Microsoft Office Word</Application>
  <DocSecurity>4</DocSecurity>
  <Lines>207</Lines>
  <Paragraphs>57</Paragraphs>
  <ScaleCrop>false</ScaleCrop>
  <HeadingPairs>
    <vt:vector size="2" baseType="variant">
      <vt:variant>
        <vt:lpstr>Název</vt:lpstr>
      </vt:variant>
      <vt:variant>
        <vt:i4>1</vt:i4>
      </vt:variant>
    </vt:vector>
  </HeadingPairs>
  <TitlesOfParts>
    <vt:vector size="1" baseType="lpstr">
      <vt:lpstr>Praha</vt:lpstr>
    </vt:vector>
  </TitlesOfParts>
  <Company>CTU</Company>
  <LinksUpToDate>false</LinksUpToDate>
  <CharactersWithSpaces>28919</CharactersWithSpaces>
  <SharedDoc>false</SharedDoc>
  <HLinks>
    <vt:vector size="18" baseType="variant">
      <vt:variant>
        <vt:i4>393243</vt:i4>
      </vt:variant>
      <vt:variant>
        <vt:i4>6</vt:i4>
      </vt:variant>
      <vt:variant>
        <vt:i4>0</vt:i4>
      </vt:variant>
      <vt:variant>
        <vt:i4>5</vt:i4>
      </vt:variant>
      <vt:variant>
        <vt:lpwstr>http://www.ctu.cz/cs/download/art/tabulky/cen/tabulky_cen_04-xx_2013-y_navrh_05_03_2013_telefonica.pdf</vt:lpwstr>
      </vt:variant>
      <vt:variant>
        <vt:lpwstr/>
      </vt:variant>
      <vt:variant>
        <vt:i4>7602226</vt:i4>
      </vt:variant>
      <vt:variant>
        <vt:i4>3</vt:i4>
      </vt:variant>
      <vt:variant>
        <vt:i4>0</vt:i4>
      </vt:variant>
      <vt:variant>
        <vt:i4>5</vt:i4>
      </vt:variant>
      <vt:variant>
        <vt:lpwstr>http://www.ctu.cz/cs/download/oop/oop_04/kolokace_30_03_2007.xls</vt:lpwstr>
      </vt:variant>
      <vt:variant>
        <vt:lpwstr/>
      </vt:variant>
      <vt:variant>
        <vt:i4>5963858</vt:i4>
      </vt:variant>
      <vt:variant>
        <vt:i4>0</vt:i4>
      </vt:variant>
      <vt:variant>
        <vt:i4>0</vt:i4>
      </vt:variant>
      <vt:variant>
        <vt:i4>5</vt:i4>
      </vt:variant>
      <vt:variant>
        <vt:lpwstr>http://www.ctu.cz/cs/download/oop/oop_04/vosp_02-2013.zip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Praha</dc:title>
  <dc:creator>Průšová Irena, Ing.</dc:creator>
  <cp:lastModifiedBy>VOPALECKÝ Jaroslav</cp:lastModifiedBy>
  <cp:revision>2</cp:revision>
  <cp:lastPrinted>2015-03-18T07:30:00Z</cp:lastPrinted>
  <dcterms:created xsi:type="dcterms:W3CDTF">2015-03-18T07:35:00Z</dcterms:created>
  <dcterms:modified xsi:type="dcterms:W3CDTF">2015-03-18T07:35:00Z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sah">
    <vt:lpwstr>CEN 4</vt:lpwstr>
  </property>
  <property fmtid="{D5CDD505-2E9C-101B-9397-08002B2CF9AE}" pid="3" name="Bod jednání">
    <vt:lpwstr>1</vt:lpwstr>
  </property>
  <property fmtid="{D5CDD505-2E9C-101B-9397-08002B2CF9AE}" pid="4" name="Odbor">
    <vt:lpwstr>611</vt:lpwstr>
  </property>
  <property fmtid="{D5CDD505-2E9C-101B-9397-08002B2CF9AE}" pid="5" name="Stav projednávání">
    <vt:lpwstr/>
  </property>
  <property fmtid="{D5CDD505-2E9C-101B-9397-08002B2CF9AE}" pid="6" name="ContentType">
    <vt:lpwstr>Dokument</vt:lpwstr>
  </property>
  <property fmtid="{D5CDD505-2E9C-101B-9397-08002B2CF9AE}" pid="7" name="Číslo protokolu">
    <vt:lpwstr/>
  </property>
  <property fmtid="{D5CDD505-2E9C-101B-9397-08002B2CF9AE}" pid="8" name="čj">
    <vt:lpwstr>2013.20</vt:lpwstr>
  </property>
  <property fmtid="{D5CDD505-2E9C-101B-9397-08002B2CF9AE}" pid="9" name="Datum zasedání">
    <vt:lpwstr>2013-04-24T00:00:00Z</vt:lpwstr>
  </property>
</Properties>
</file>